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6F6F6"/>
  <w:body>
    <w:p>
      <w:pPr>
        <w:widowControl/>
        <w:adjustRightInd w:val="0"/>
        <w:snapToGrid w:val="0"/>
        <w:spacing w:line="360" w:lineRule="auto"/>
        <w:ind w:right="630" w:rightChars="300"/>
        <w:jc w:val="left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Toc12066"/>
      <w:bookmarkStart w:id="1" w:name="_Toc11905"/>
      <w:bookmarkStart w:id="2" w:name="_Toc22416"/>
      <w:bookmarkStart w:id="3" w:name="_Toc10577"/>
      <w:r>
        <w:rPr>
          <w:rFonts w:ascii="Times New Roman" w:hAnsi="Times New Roman" w:cs="Times New Roman"/>
          <w:b/>
          <w:bCs/>
          <w:sz w:val="24"/>
          <w:szCs w:val="24"/>
        </w:rPr>
        <w:t>附件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 xml:space="preserve"> 项目环评委托书</w:t>
      </w:r>
      <w:bookmarkEnd w:id="0"/>
      <w:bookmarkEnd w:id="1"/>
      <w:bookmarkStart w:id="4" w:name="_Toc3448"/>
      <w:bookmarkStart w:id="5" w:name="_Toc7461"/>
    </w:p>
    <w:p>
      <w:pPr>
        <w:pStyle w:val="3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drawing>
          <wp:inline distT="0" distB="0" distL="114300" distR="114300">
            <wp:extent cx="5261610" cy="7757795"/>
            <wp:effectExtent l="0" t="0" r="15240" b="14605"/>
            <wp:docPr id="5" name="图片 5" descr="IMG_28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83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75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Times New Roman" w:hAnsi="Times New Roman" w:cs="Times New Roman"/>
          <w:sz w:val="24"/>
          <w:szCs w:val="24"/>
        </w:rPr>
      </w:pPr>
    </w:p>
    <w:p>
      <w:pPr>
        <w:pStyle w:val="4"/>
        <w:jc w:val="both"/>
        <w:rPr>
          <w:rFonts w:hint="eastAsia" w:ascii="Times New Roman" w:hAnsi="Times New Roman" w:cs="Times New Roman"/>
          <w:sz w:val="24"/>
          <w:szCs w:val="24"/>
        </w:rPr>
      </w:pPr>
    </w:p>
    <w:p>
      <w:pPr>
        <w:widowControl/>
        <w:adjustRightInd w:val="0"/>
        <w:snapToGrid w:val="0"/>
        <w:spacing w:line="360" w:lineRule="auto"/>
        <w:ind w:right="630" w:rightChars="300"/>
        <w:outlineLvl w:val="0"/>
        <w:rPr>
          <w:rFonts w:hint="eastAsia" w:ascii="Times New Roman" w:hAnsi="Times New Roman" w:cs="Times New Roman"/>
          <w:b/>
          <w:bCs/>
          <w:sz w:val="24"/>
          <w:szCs w:val="24"/>
          <w:lang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</w:rPr>
        <w:t>附件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2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 xml:space="preserve">  </w:t>
      </w:r>
      <w:bookmarkEnd w:id="4"/>
      <w:bookmarkEnd w:id="5"/>
      <w:r>
        <w:rPr>
          <w:rFonts w:hint="eastAsia" w:ascii="Times New Roman" w:hAnsi="Times New Roman" w:cs="Times New Roman"/>
          <w:b/>
          <w:bCs/>
          <w:sz w:val="24"/>
          <w:szCs w:val="24"/>
          <w:lang w:eastAsia="zh-CN"/>
        </w:rPr>
        <w:t>项目土地租赁合同</w:t>
      </w:r>
    </w:p>
    <w:p>
      <w:pPr>
        <w:pStyle w:val="3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6690" cy="8450580"/>
            <wp:effectExtent l="0" t="0" r="10160" b="7620"/>
            <wp:docPr id="1" name="图片 1" descr="78576c1d745f7d8b335d302767c5e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8576c1d745f7d8b335d302767c5e7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50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line="360" w:lineRule="auto"/>
        <w:ind w:right="630" w:rightChars="300"/>
        <w:outlineLvl w:val="0"/>
        <w:rPr>
          <w:rFonts w:hint="eastAsia" w:ascii="Times New Roman" w:hAnsi="Times New Roman" w:cs="Times New Roman"/>
          <w:b/>
          <w:bCs/>
          <w:sz w:val="24"/>
          <w:szCs w:val="24"/>
          <w:lang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  <w:lang w:eastAsia="zh-CN"/>
        </w:rPr>
        <w:t>附件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3  公司（企业）住所（经营场所）证明</w:t>
      </w:r>
    </w:p>
    <w:p>
      <w:pPr>
        <w:pStyle w:val="3"/>
        <w:rPr>
          <w:rFonts w:hint="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5133340" cy="7916545"/>
            <wp:effectExtent l="0" t="0" r="10160" b="8255"/>
            <wp:docPr id="2" name="图片 2" descr="11b01aa509644b0992c901368601e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1b01aa509644b0992c901368601ea9"/>
                    <pic:cNvPicPr>
                      <a:picLocks noChangeAspect="1"/>
                    </pic:cNvPicPr>
                  </pic:nvPicPr>
                  <pic:blipFill>
                    <a:blip r:embed="rId6"/>
                    <a:srcRect b="6838"/>
                    <a:stretch>
                      <a:fillRect/>
                    </a:stretch>
                  </pic:blipFill>
                  <pic:spPr>
                    <a:xfrm>
                      <a:off x="0" y="0"/>
                      <a:ext cx="5133340" cy="791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line="240" w:lineRule="auto"/>
        <w:ind w:right="630" w:rightChars="300"/>
        <w:outlineLvl w:val="0"/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  <w:lang w:eastAsia="zh-CN"/>
        </w:rPr>
        <w:t>附件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4  项目营业执照</w:t>
      </w:r>
    </w:p>
    <w:p>
      <w:pPr>
        <w:pStyle w:val="4"/>
        <w:jc w:val="both"/>
        <w:rPr>
          <w:rFonts w:hint="eastAsia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8639810" cy="4781550"/>
            <wp:effectExtent l="0" t="0" r="8890" b="0"/>
            <wp:docPr id="3" name="图片 3" descr="ff10c24794ee7b4b5e1791deaf04c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f10c24794ee7b4b5e1791deaf04c0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639810" cy="478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line="240" w:lineRule="auto"/>
        <w:ind w:right="630" w:rightChars="300"/>
        <w:outlineLvl w:val="0"/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附件5  项目</w:t>
      </w: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>环境检测质量保证单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400040" cy="8513445"/>
            <wp:effectExtent l="0" t="0" r="10160" b="190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rcRect l="5124" r="106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851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-SA"/>
        </w:rPr>
        <w:t>附件6 项目备案的批复</w:t>
      </w:r>
    </w:p>
    <w:p>
      <w:pPr>
        <w:pStyle w:val="2"/>
        <w:ind w:left="0" w:leftChars="0" w:firstLine="0" w:firstLineChars="0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drawing>
          <wp:inline distT="0" distB="0" distL="114300" distR="114300">
            <wp:extent cx="8062595" cy="5216525"/>
            <wp:effectExtent l="0" t="0" r="3175" b="14605"/>
            <wp:docPr id="6" name="图片 6" descr="d753d6ee9b723a6a7b92535595b0f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753d6ee9b723a6a7b92535595b0fe2"/>
                    <pic:cNvPicPr>
                      <a:picLocks noChangeAspect="1"/>
                    </pic:cNvPicPr>
                  </pic:nvPicPr>
                  <pic:blipFill>
                    <a:blip r:embed="rId9"/>
                    <a:srcRect b="1374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62595" cy="521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val="en-US" w:eastAsia="zh-CN"/>
        </w:rPr>
        <w:drawing>
          <wp:inline distT="0" distB="0" distL="114300" distR="114300">
            <wp:extent cx="8743315" cy="5293360"/>
            <wp:effectExtent l="0" t="0" r="2540" b="635"/>
            <wp:docPr id="7" name="图片 7" descr="9e23844c6cf6843c8d4cdc2ccbd49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e23844c6cf6843c8d4cdc2ccbd4968"/>
                    <pic:cNvPicPr>
                      <a:picLocks noChangeAspect="1"/>
                    </pic:cNvPicPr>
                  </pic:nvPicPr>
                  <pic:blipFill>
                    <a:blip r:embed="rId10"/>
                    <a:srcRect t="10609" b="868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43315" cy="529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val="en-US" w:eastAsia="zh-CN"/>
        </w:rPr>
        <w:drawing>
          <wp:inline distT="0" distB="0" distL="114300" distR="114300">
            <wp:extent cx="7753985" cy="5283200"/>
            <wp:effectExtent l="0" t="0" r="12700" b="18415"/>
            <wp:docPr id="8" name="图片 8" descr="2da885d46de49118ab0e7676ca776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da885d46de49118ab0e7676ca776fb"/>
                    <pic:cNvPicPr>
                      <a:picLocks noChangeAspect="1"/>
                    </pic:cNvPicPr>
                  </pic:nvPicPr>
                  <pic:blipFill>
                    <a:blip r:embed="rId11"/>
                    <a:srcRect t="916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53985" cy="528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2"/>
    <w:bookmarkEnd w:id="3"/>
    <w:p>
      <w:pPr>
        <w:jc w:val="both"/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</w:pPr>
    </w:p>
    <w:p>
      <w:pPr>
        <w:jc w:val="both"/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</w:pPr>
    </w:p>
    <w:p>
      <w:pPr>
        <w:jc w:val="both"/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</w:pPr>
    </w:p>
    <w:p>
      <w:pPr>
        <w:jc w:val="both"/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</w:pPr>
    </w:p>
    <w:p>
      <w:pPr>
        <w:jc w:val="both"/>
        <w:rPr>
          <w:rFonts w:hint="eastAsia" w:ascii="黑体" w:hAnsi="黑体" w:eastAsia="黑体"/>
          <w:b/>
          <w:bCs/>
          <w:sz w:val="24"/>
          <w:szCs w:val="24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 xml:space="preserve">附件7 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建设项目大气环境影响评价自查表</w:t>
      </w:r>
    </w:p>
    <w:tbl>
      <w:tblPr>
        <w:tblStyle w:val="6"/>
        <w:tblW w:w="8720" w:type="dxa"/>
        <w:tblInd w:w="0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65"/>
        <w:gridCol w:w="1290"/>
        <w:gridCol w:w="766"/>
        <w:gridCol w:w="78"/>
        <w:gridCol w:w="180"/>
        <w:gridCol w:w="475"/>
        <w:gridCol w:w="129"/>
        <w:gridCol w:w="1"/>
        <w:gridCol w:w="107"/>
        <w:gridCol w:w="594"/>
        <w:gridCol w:w="238"/>
        <w:gridCol w:w="36"/>
        <w:gridCol w:w="557"/>
        <w:gridCol w:w="119"/>
        <w:gridCol w:w="238"/>
        <w:gridCol w:w="141"/>
        <w:gridCol w:w="5"/>
        <w:gridCol w:w="1"/>
        <w:gridCol w:w="111"/>
        <w:gridCol w:w="478"/>
        <w:gridCol w:w="96"/>
        <w:gridCol w:w="388"/>
        <w:gridCol w:w="113"/>
        <w:gridCol w:w="330"/>
        <w:gridCol w:w="484"/>
        <w:gridCol w:w="900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2" w:hRule="atLeast"/>
        </w:trPr>
        <w:tc>
          <w:tcPr>
            <w:tcW w:w="2155" w:type="dxa"/>
            <w:gridSpan w:val="2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工作内容</w:t>
            </w:r>
          </w:p>
        </w:tc>
        <w:tc>
          <w:tcPr>
            <w:tcW w:w="6565" w:type="dxa"/>
            <w:gridSpan w:val="24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自查项目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Merge w:val="restart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评价等级与范围</w:t>
            </w: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评价等级</w:t>
            </w:r>
          </w:p>
        </w:tc>
        <w:tc>
          <w:tcPr>
            <w:tcW w:w="1628" w:type="dxa"/>
            <w:gridSpan w:val="5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一级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2036" w:type="dxa"/>
            <w:gridSpan w:val="10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二级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  <w:tc>
          <w:tcPr>
            <w:tcW w:w="2901" w:type="dxa"/>
            <w:gridSpan w:val="9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三级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评价范围</w:t>
            </w:r>
          </w:p>
        </w:tc>
        <w:tc>
          <w:tcPr>
            <w:tcW w:w="1628" w:type="dxa"/>
            <w:gridSpan w:val="5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边长=50km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2036" w:type="dxa"/>
            <w:gridSpan w:val="10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边长5~50km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  <w:tc>
          <w:tcPr>
            <w:tcW w:w="2901" w:type="dxa"/>
            <w:gridSpan w:val="9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边长=5km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Merge w:val="restart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评价因子</w:t>
            </w: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SO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2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+NO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x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排放量</w:t>
            </w:r>
          </w:p>
        </w:tc>
        <w:tc>
          <w:tcPr>
            <w:tcW w:w="1628" w:type="dxa"/>
            <w:gridSpan w:val="5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≥2000t/a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2036" w:type="dxa"/>
            <w:gridSpan w:val="10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500~2000t/a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2901" w:type="dxa"/>
            <w:gridSpan w:val="9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＜500t/a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4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评价因子</w:t>
            </w:r>
          </w:p>
        </w:tc>
        <w:tc>
          <w:tcPr>
            <w:tcW w:w="3518" w:type="dxa"/>
            <w:gridSpan w:val="13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基本污染物（</w:t>
            </w:r>
            <w:r>
              <w:rPr>
                <w:rFonts w:hint="eastAsia" w:ascii="Times New Roman" w:hAnsi="Times New Roman" w:cs="Times New Roman"/>
                <w:sz w:val="15"/>
                <w:szCs w:val="15"/>
                <w:lang w:val="en-US" w:eastAsia="zh-CN"/>
              </w:rPr>
              <w:t>TSP、二氧化硫、氮氧化物</w:t>
            </w: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       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）</w:t>
            </w:r>
          </w:p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其他污染物（</w:t>
            </w: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 </w:t>
            </w:r>
            <w:r>
              <w:rPr>
                <w:rFonts w:hint="eastAsia" w:ascii="Times New Roman" w:hAnsi="Times New Roman" w:cs="Times New Roman"/>
                <w:sz w:val="15"/>
                <w:szCs w:val="15"/>
                <w:lang w:val="en-US" w:eastAsia="zh-CN"/>
              </w:rPr>
              <w:t>TVOC</w:t>
            </w: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                  </w:t>
            </w:r>
            <w:r>
              <w:rPr>
                <w:rFonts w:hint="eastAsia" w:ascii="Times New Roman" w:hAnsi="Times New Roman" w:cs="Times New Roman"/>
                <w:sz w:val="15"/>
                <w:szCs w:val="15"/>
                <w:lang w:val="en-US" w:eastAsia="zh-CN"/>
              </w:rPr>
              <w:t xml:space="preserve">   </w:t>
            </w: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 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）</w:t>
            </w:r>
          </w:p>
        </w:tc>
        <w:tc>
          <w:tcPr>
            <w:tcW w:w="3047" w:type="dxa"/>
            <w:gridSpan w:val="11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 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包括二次PM2.5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□</w:t>
            </w:r>
          </w:p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不包括二次PM2.5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评价标准</w:t>
            </w: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评价标准</w:t>
            </w:r>
          </w:p>
        </w:tc>
        <w:tc>
          <w:tcPr>
            <w:tcW w:w="1024" w:type="dxa"/>
            <w:gridSpan w:val="3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国家标准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  <w:tc>
          <w:tcPr>
            <w:tcW w:w="1306" w:type="dxa"/>
            <w:gridSpan w:val="5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地方标准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1924" w:type="dxa"/>
            <w:gridSpan w:val="10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附录D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2311" w:type="dxa"/>
            <w:gridSpan w:val="6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其他标准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Merge w:val="restart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现状评价</w:t>
            </w: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环境功能区</w:t>
            </w:r>
          </w:p>
        </w:tc>
        <w:tc>
          <w:tcPr>
            <w:tcW w:w="1629" w:type="dxa"/>
            <w:gridSpan w:val="6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一类区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2030" w:type="dxa"/>
            <w:gridSpan w:val="8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二类区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  <w:tc>
          <w:tcPr>
            <w:tcW w:w="2906" w:type="dxa"/>
            <w:gridSpan w:val="10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一类区和二类区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评价基准年</w:t>
            </w:r>
          </w:p>
        </w:tc>
        <w:tc>
          <w:tcPr>
            <w:tcW w:w="6565" w:type="dxa"/>
            <w:gridSpan w:val="24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（</w:t>
            </w: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</w:t>
            </w:r>
            <w:r>
              <w:rPr>
                <w:rFonts w:hint="eastAsia" w:ascii="Times New Roman" w:hAnsi="Times New Roman" w:cs="Times New Roman"/>
                <w:sz w:val="15"/>
                <w:szCs w:val="15"/>
                <w:lang w:val="en-US" w:eastAsia="zh-CN"/>
              </w:rPr>
              <w:t>1</w:t>
            </w: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  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）年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4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环境空气质量现状调查数据来源</w:t>
            </w:r>
          </w:p>
        </w:tc>
        <w:tc>
          <w:tcPr>
            <w:tcW w:w="1629" w:type="dxa"/>
            <w:gridSpan w:val="6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长期例行监测数据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  <w:tc>
          <w:tcPr>
            <w:tcW w:w="2030" w:type="dxa"/>
            <w:gridSpan w:val="8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主管部门发布的数据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2906" w:type="dxa"/>
            <w:gridSpan w:val="10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现状补充监测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现状评价</w:t>
            </w:r>
          </w:p>
        </w:tc>
        <w:tc>
          <w:tcPr>
            <w:tcW w:w="3659" w:type="dxa"/>
            <w:gridSpan w:val="14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达标区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  <w:tc>
          <w:tcPr>
            <w:tcW w:w="2906" w:type="dxa"/>
            <w:gridSpan w:val="10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不达标区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7" w:hRule="atLeast"/>
        </w:trPr>
        <w:tc>
          <w:tcPr>
            <w:tcW w:w="865" w:type="dxa"/>
            <w:vAlign w:val="center"/>
          </w:tcPr>
          <w:p>
            <w:pPr>
              <w:jc w:val="center"/>
              <w:rPr>
                <w:rFonts w:hint="eastAsia"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污染源</w:t>
            </w:r>
          </w:p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调查</w:t>
            </w: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调查内容</w:t>
            </w:r>
          </w:p>
        </w:tc>
        <w:tc>
          <w:tcPr>
            <w:tcW w:w="1736" w:type="dxa"/>
            <w:gridSpan w:val="7"/>
            <w:vAlign w:val="center"/>
          </w:tcPr>
          <w:p>
            <w:pPr>
              <w:jc w:val="right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本项目正常排放源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  <w:p>
            <w:pPr>
              <w:jc w:val="right"/>
              <w:rPr>
                <w:rFonts w:hint="eastAsia" w:cs="Times New Roman" w:asciiTheme="majorEastAsia" w:hAnsiTheme="majorEastAsia" w:eastAsiaTheme="majorEastAsia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本项目非正常排放源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  <w:p>
            <w:pPr>
              <w:jc w:val="right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现有污染源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  <w:tc>
          <w:tcPr>
            <w:tcW w:w="1425" w:type="dxa"/>
            <w:gridSpan w:val="4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拟替代的污染源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2020" w:type="dxa"/>
            <w:gridSpan w:val="11"/>
            <w:vAlign w:val="center"/>
          </w:tcPr>
          <w:p>
            <w:pPr>
              <w:jc w:val="center"/>
              <w:rPr>
                <w:rFonts w:hint="eastAsia"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其他在建、拟建项目</w:t>
            </w:r>
          </w:p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污染源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1384" w:type="dxa"/>
            <w:gridSpan w:val="2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区域污染源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4" w:hRule="atLeast"/>
        </w:trPr>
        <w:tc>
          <w:tcPr>
            <w:tcW w:w="865" w:type="dxa"/>
            <w:vMerge w:val="restart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大气环境影响预测与评价</w:t>
            </w: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预测模型</w:t>
            </w:r>
          </w:p>
        </w:tc>
        <w:tc>
          <w:tcPr>
            <w:tcW w:w="844" w:type="dxa"/>
            <w:gridSpan w:val="2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AERMOD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655" w:type="dxa"/>
            <w:gridSpan w:val="2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ADMS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1105" w:type="dxa"/>
            <w:gridSpan w:val="6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AUSTAL2000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1172" w:type="dxa"/>
            <w:gridSpan w:val="7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EDMS/AEDT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962" w:type="dxa"/>
            <w:gridSpan w:val="3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CALPUFF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927" w:type="dxa"/>
            <w:gridSpan w:val="3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网格模型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其他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预测范围</w:t>
            </w:r>
          </w:p>
        </w:tc>
        <w:tc>
          <w:tcPr>
            <w:tcW w:w="1629" w:type="dxa"/>
            <w:gridSpan w:val="6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边长≥50km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2036" w:type="dxa"/>
            <w:gridSpan w:val="10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边长5~50km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□</w:t>
            </w:r>
          </w:p>
        </w:tc>
        <w:tc>
          <w:tcPr>
            <w:tcW w:w="2900" w:type="dxa"/>
            <w:gridSpan w:val="8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边长=5km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4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预测因子</w:t>
            </w:r>
          </w:p>
        </w:tc>
        <w:tc>
          <w:tcPr>
            <w:tcW w:w="3659" w:type="dxa"/>
            <w:gridSpan w:val="14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预测因子（</w:t>
            </w:r>
            <w:r>
              <w:rPr>
                <w:rFonts w:hint="eastAsia" w:ascii="Times New Roman" w:hAnsi="Times New Roman" w:cs="Times New Roman"/>
                <w:sz w:val="15"/>
                <w:szCs w:val="15"/>
                <w:lang w:val="en-US" w:eastAsia="zh-CN"/>
              </w:rPr>
              <w:t>TSP、二氧化硫、氮氧化物、TVOC</w:t>
            </w: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）</w:t>
            </w:r>
          </w:p>
        </w:tc>
        <w:tc>
          <w:tcPr>
            <w:tcW w:w="2906" w:type="dxa"/>
            <w:gridSpan w:val="10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包括二次PM2.5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不包括二次PM2.5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4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正常排放短期浓度贡献值</w:t>
            </w:r>
          </w:p>
        </w:tc>
        <w:tc>
          <w:tcPr>
            <w:tcW w:w="3659" w:type="dxa"/>
            <w:gridSpan w:val="14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C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本项目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最大占标率≤100%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  <w:tc>
          <w:tcPr>
            <w:tcW w:w="2906" w:type="dxa"/>
            <w:gridSpan w:val="10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C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本项目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最大占标率＞100%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Merge w:val="restart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正常排放年均浓度贡献值</w:t>
            </w:r>
          </w:p>
        </w:tc>
        <w:tc>
          <w:tcPr>
            <w:tcW w:w="766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一类区</w:t>
            </w:r>
          </w:p>
        </w:tc>
        <w:tc>
          <w:tcPr>
            <w:tcW w:w="2899" w:type="dxa"/>
            <w:gridSpan w:val="15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C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本项目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最大占标率≤10%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  <w:tc>
          <w:tcPr>
            <w:tcW w:w="2900" w:type="dxa"/>
            <w:gridSpan w:val="8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C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本项目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最大占标率＞10%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766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二类区</w:t>
            </w:r>
          </w:p>
        </w:tc>
        <w:tc>
          <w:tcPr>
            <w:tcW w:w="2899" w:type="dxa"/>
            <w:gridSpan w:val="15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C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本项目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最大占标率≤30%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  <w:tc>
          <w:tcPr>
            <w:tcW w:w="2900" w:type="dxa"/>
            <w:gridSpan w:val="8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C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本项目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最大占标率＞30%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4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非正常排放1h浓度贡献值</w:t>
            </w:r>
          </w:p>
        </w:tc>
        <w:tc>
          <w:tcPr>
            <w:tcW w:w="1499" w:type="dxa"/>
            <w:gridSpan w:val="4"/>
            <w:vAlign w:val="center"/>
          </w:tcPr>
          <w:p>
            <w:pPr>
              <w:jc w:val="center"/>
              <w:rPr>
                <w:rFonts w:hint="eastAsia"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非正常持续时长</w:t>
            </w:r>
          </w:p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（）h</w:t>
            </w:r>
          </w:p>
        </w:tc>
        <w:tc>
          <w:tcPr>
            <w:tcW w:w="2166" w:type="dxa"/>
            <w:gridSpan w:val="12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c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非正常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占标率≤100%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  <w:tc>
          <w:tcPr>
            <w:tcW w:w="2900" w:type="dxa"/>
            <w:gridSpan w:val="8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c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非正常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占标率＞100%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7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保证率日平均浓度和年平均浓度叠加值</w:t>
            </w:r>
          </w:p>
        </w:tc>
        <w:tc>
          <w:tcPr>
            <w:tcW w:w="3659" w:type="dxa"/>
            <w:gridSpan w:val="14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C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叠加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达标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  <w:tc>
          <w:tcPr>
            <w:tcW w:w="2906" w:type="dxa"/>
            <w:gridSpan w:val="10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C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叠加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不达标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4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区域环境质量的整体变化情况</w:t>
            </w:r>
          </w:p>
        </w:tc>
        <w:tc>
          <w:tcPr>
            <w:tcW w:w="3659" w:type="dxa"/>
            <w:gridSpan w:val="14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k≤-20%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  <w:tc>
          <w:tcPr>
            <w:tcW w:w="2906" w:type="dxa"/>
            <w:gridSpan w:val="10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k＞-20%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4" w:hRule="atLeast"/>
        </w:trPr>
        <w:tc>
          <w:tcPr>
            <w:tcW w:w="865" w:type="dxa"/>
            <w:vMerge w:val="restart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环境监测计划</w:t>
            </w: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污染源监测</w:t>
            </w:r>
          </w:p>
        </w:tc>
        <w:tc>
          <w:tcPr>
            <w:tcW w:w="2568" w:type="dxa"/>
            <w:gridSpan w:val="9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监测因子：（</w:t>
            </w:r>
            <w:r>
              <w:rPr>
                <w:rFonts w:hint="eastAsia" w:ascii="Times New Roman" w:hAnsi="Times New Roman" w:cs="Times New Roman"/>
                <w:sz w:val="15"/>
                <w:szCs w:val="15"/>
                <w:lang w:val="en-US" w:eastAsia="zh-CN"/>
              </w:rPr>
              <w:t>TSP、二氧化硫、氮氧化物、VOCs</w:t>
            </w: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）</w:t>
            </w:r>
          </w:p>
        </w:tc>
        <w:tc>
          <w:tcPr>
            <w:tcW w:w="1782" w:type="dxa"/>
            <w:gridSpan w:val="10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有组织废气监测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  <w:p>
            <w:pPr>
              <w:jc w:val="center"/>
              <w:rPr>
                <w:rFonts w:hint="eastAsia" w:ascii="Times New Roman" w:hAnsi="Times New Roman" w:cs="Times New Roman" w:eastAsiaTheme="majorEastAsia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无组织废气监测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</w:p>
        </w:tc>
        <w:tc>
          <w:tcPr>
            <w:tcW w:w="2215" w:type="dxa"/>
            <w:gridSpan w:val="5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无监测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环境质量监测</w:t>
            </w:r>
          </w:p>
        </w:tc>
        <w:tc>
          <w:tcPr>
            <w:tcW w:w="2568" w:type="dxa"/>
            <w:gridSpan w:val="9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监测因子：（</w:t>
            </w: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  </w:t>
            </w:r>
            <w:r>
              <w:rPr>
                <w:rFonts w:hint="eastAsia" w:ascii="Times New Roman" w:hAnsi="Times New Roman" w:cs="Times New Roman"/>
                <w:sz w:val="15"/>
                <w:szCs w:val="15"/>
                <w:lang w:eastAsia="zh-CN"/>
              </w:rPr>
              <w:t>噪声</w:t>
            </w: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     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）</w:t>
            </w:r>
          </w:p>
        </w:tc>
        <w:tc>
          <w:tcPr>
            <w:tcW w:w="1782" w:type="dxa"/>
            <w:gridSpan w:val="10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监测点位数（</w:t>
            </w: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</w:t>
            </w:r>
            <w:r>
              <w:rPr>
                <w:rFonts w:hint="eastAsia" w:ascii="Times New Roman" w:hAnsi="Times New Roman" w:cs="Times New Roman"/>
                <w:sz w:val="15"/>
                <w:szCs w:val="15"/>
                <w:lang w:val="en-US" w:eastAsia="zh-CN"/>
              </w:rPr>
              <w:t>5</w:t>
            </w: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 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）</w:t>
            </w:r>
          </w:p>
        </w:tc>
        <w:tc>
          <w:tcPr>
            <w:tcW w:w="2215" w:type="dxa"/>
            <w:gridSpan w:val="5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无监测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Merge w:val="restart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评价结论</w:t>
            </w: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环境影响</w:t>
            </w:r>
          </w:p>
        </w:tc>
        <w:tc>
          <w:tcPr>
            <w:tcW w:w="6565" w:type="dxa"/>
            <w:gridSpan w:val="24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可以接受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  <w:lang w:eastAsia="zh-CN"/>
              </w:rPr>
              <w:t>☑</w:t>
            </w:r>
            <w:r>
              <w:rPr>
                <w:rFonts w:hint="eastAsia" w:cs="Times New Roman" w:asciiTheme="majorEastAsia" w:hAnsiTheme="majorEastAsia" w:eastAsiaTheme="majorEastAsia"/>
                <w:sz w:val="15"/>
                <w:szCs w:val="15"/>
              </w:rPr>
              <w:t xml:space="preserve">     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不可以接受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大气环境防护距离</w:t>
            </w:r>
          </w:p>
        </w:tc>
        <w:tc>
          <w:tcPr>
            <w:tcW w:w="6565" w:type="dxa"/>
            <w:gridSpan w:val="24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距（）厂界最远（）m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865" w:type="dxa"/>
            <w:vMerge w:val="continue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</w:p>
        </w:tc>
        <w:tc>
          <w:tcPr>
            <w:tcW w:w="1290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污染源年排放量</w:t>
            </w:r>
          </w:p>
        </w:tc>
        <w:tc>
          <w:tcPr>
            <w:tcW w:w="1499" w:type="dxa"/>
            <w:gridSpan w:val="4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SO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2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：（</w:t>
            </w:r>
            <w:r>
              <w:rPr>
                <w:rFonts w:hint="eastAsia" w:ascii="Times New Roman" w:hAnsi="Times New Roman" w:cs="Times New Roman"/>
                <w:sz w:val="15"/>
                <w:szCs w:val="15"/>
                <w:lang w:val="en-US" w:eastAsia="zh-CN"/>
              </w:rPr>
              <w:t>0.255</w:t>
            </w:r>
            <w:r>
              <w:rPr>
                <w:rFonts w:hint="eastAsia" w:ascii="Times New Roman" w:hAnsi="Times New Roman" w:cs="Times New Roman"/>
                <w:sz w:val="15"/>
                <w:szCs w:val="15"/>
              </w:rPr>
              <w:t xml:space="preserve"> 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）t/a</w:t>
            </w:r>
          </w:p>
        </w:tc>
        <w:tc>
          <w:tcPr>
            <w:tcW w:w="1781" w:type="dxa"/>
            <w:gridSpan w:val="8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NO</w:t>
            </w:r>
            <w:r>
              <w:rPr>
                <w:rFonts w:ascii="Times New Roman" w:hAnsi="Times New Roman" w:cs="Times New Roman"/>
                <w:sz w:val="15"/>
                <w:szCs w:val="15"/>
                <w:vertAlign w:val="subscript"/>
              </w:rPr>
              <w:t>x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：（</w:t>
            </w:r>
            <w:r>
              <w:rPr>
                <w:rFonts w:hint="eastAsia" w:ascii="Times New Roman" w:hAnsi="Times New Roman" w:cs="Times New Roman"/>
                <w:sz w:val="15"/>
                <w:szCs w:val="15"/>
                <w:lang w:val="en-US" w:eastAsia="zh-CN"/>
              </w:rPr>
              <w:t>0.306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）t/a</w:t>
            </w:r>
          </w:p>
        </w:tc>
        <w:tc>
          <w:tcPr>
            <w:tcW w:w="1571" w:type="dxa"/>
            <w:gridSpan w:val="9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颗粒物：（</w:t>
            </w:r>
            <w:r>
              <w:rPr>
                <w:rFonts w:hint="eastAsia" w:ascii="Times New Roman" w:hAnsi="Times New Roman" w:cs="Times New Roman"/>
                <w:sz w:val="15"/>
                <w:szCs w:val="15"/>
                <w:lang w:val="en-US" w:eastAsia="zh-CN"/>
              </w:rPr>
              <w:t>0.676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）t/a</w:t>
            </w:r>
          </w:p>
        </w:tc>
        <w:tc>
          <w:tcPr>
            <w:tcW w:w="1714" w:type="dxa"/>
            <w:gridSpan w:val="3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VOCs：（</w:t>
            </w:r>
            <w:r>
              <w:rPr>
                <w:rFonts w:hint="eastAsia" w:ascii="Times New Roman" w:hAnsi="Times New Roman" w:cs="Times New Roman"/>
                <w:sz w:val="15"/>
                <w:szCs w:val="15"/>
                <w:lang w:val="en-US" w:eastAsia="zh-CN"/>
              </w:rPr>
              <w:t>1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）t/a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2" w:hRule="atLeast"/>
        </w:trPr>
        <w:tc>
          <w:tcPr>
            <w:tcW w:w="8720" w:type="dxa"/>
            <w:gridSpan w:val="26"/>
            <w:vAlign w:val="center"/>
          </w:tcPr>
          <w:p>
            <w:pPr>
              <w:jc w:val="left"/>
              <w:rPr>
                <w:rFonts w:ascii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hAnsi="Times New Roman" w:cs="Times New Roman"/>
                <w:sz w:val="15"/>
                <w:szCs w:val="15"/>
              </w:rPr>
              <w:t>注：“</w:t>
            </w:r>
            <w:r>
              <w:rPr>
                <w:rFonts w:cs="Times New Roman" w:asciiTheme="majorEastAsia" w:hAnsiTheme="majorEastAsia" w:eastAsiaTheme="majorEastAsia"/>
                <w:sz w:val="15"/>
                <w:szCs w:val="15"/>
              </w:rPr>
              <w:t>□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”为勾选项，填“</w:t>
            </w:r>
            <w:r>
              <w:rPr>
                <w:rFonts w:cs="Times New Roman" w:asciiTheme="minorEastAsia" w:hAnsiTheme="minorEastAsia"/>
                <w:sz w:val="15"/>
                <w:szCs w:val="15"/>
              </w:rPr>
              <w:t>√</w:t>
            </w:r>
            <w:r>
              <w:rPr>
                <w:rFonts w:ascii="Times New Roman" w:hAnsi="Times New Roman" w:cs="Times New Roman"/>
                <w:sz w:val="15"/>
                <w:szCs w:val="15"/>
              </w:rPr>
              <w:t>”；“（）”为内容填写项</w:t>
            </w:r>
          </w:p>
        </w:tc>
      </w:tr>
    </w:tbl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jc w:val="both"/>
        <w:rPr>
          <w:rFonts w:hint="eastAsia" w:ascii="黑体" w:hAnsi="黑体" w:eastAsia="黑体"/>
          <w:b/>
          <w:bCs/>
          <w:sz w:val="24"/>
          <w:szCs w:val="24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 xml:space="preserve">附件8 </w:t>
      </w:r>
      <w:bookmarkStart w:id="6" w:name="_GoBack"/>
      <w:bookmarkEnd w:id="6"/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建设项目</w:t>
      </w:r>
      <w:r>
        <w:rPr>
          <w:rFonts w:hint="eastAsia" w:ascii="宋体" w:hAnsi="宋体" w:cs="宋体"/>
          <w:b/>
          <w:bCs/>
          <w:sz w:val="24"/>
          <w:szCs w:val="24"/>
          <w:lang w:eastAsia="zh-CN"/>
        </w:rPr>
        <w:t>地表水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环境影响评价自查表</w:t>
      </w:r>
    </w:p>
    <w:tbl>
      <w:tblPr>
        <w:tblStyle w:val="5"/>
        <w:tblW w:w="14478" w:type="dxa"/>
        <w:tblInd w:w="93" w:type="dxa"/>
        <w:tblBorders>
          <w:top w:val="single" w:color="auto" w:sz="4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"/>
        <w:gridCol w:w="2694"/>
        <w:gridCol w:w="176"/>
        <w:gridCol w:w="2092"/>
        <w:gridCol w:w="1275"/>
        <w:gridCol w:w="993"/>
        <w:gridCol w:w="820"/>
        <w:gridCol w:w="172"/>
        <w:gridCol w:w="525"/>
        <w:gridCol w:w="1318"/>
        <w:gridCol w:w="331"/>
        <w:gridCol w:w="342"/>
        <w:gridCol w:w="958"/>
        <w:gridCol w:w="211"/>
        <w:gridCol w:w="501"/>
        <w:gridCol w:w="633"/>
        <w:gridCol w:w="1422"/>
      </w:tblGrid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183" w:hRule="atLeast"/>
        </w:trPr>
        <w:tc>
          <w:tcPr>
            <w:tcW w:w="4962" w:type="dxa"/>
            <w:gridSpan w:val="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工作内容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自查项目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280" w:hRule="atLeast"/>
        </w:trPr>
        <w:tc>
          <w:tcPr>
            <w:tcW w:w="2870" w:type="dxa"/>
            <w:gridSpan w:val="2"/>
            <w:vMerge w:val="restart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影响识别</w:t>
            </w:r>
          </w:p>
        </w:tc>
        <w:tc>
          <w:tcPr>
            <w:tcW w:w="2092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影响类型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水污染影响型 √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水又要素影响型 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888" w:hRule="atLeast"/>
        </w:trPr>
        <w:tc>
          <w:tcPr>
            <w:tcW w:w="2870" w:type="dxa"/>
            <w:gridSpan w:val="2"/>
            <w:vMerge w:val="continue"/>
            <w:shd w:val="clear" w:color="auto" w:fill="auto"/>
            <w:vAlign w:val="center"/>
          </w:tcPr>
          <w:p>
            <w:pPr>
              <w:jc w:val="left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092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水环境保护目标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饮用水水源保护区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口；饮用水取水口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口；涉水的自然保护区 口；重要湿地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重点保护与珍稀水生生物的栖息地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口；重要水生生物的自然产卵场及索饵场、越冬场和洄游通道、天然渔场等渔业水体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口；涉水的风景名胜区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其他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√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280" w:hRule="atLeast"/>
        </w:trPr>
        <w:tc>
          <w:tcPr>
            <w:tcW w:w="2870" w:type="dxa"/>
            <w:gridSpan w:val="2"/>
            <w:vMerge w:val="continue"/>
            <w:shd w:val="clear" w:color="auto" w:fill="auto"/>
          </w:tcPr>
          <w:p>
            <w:pPr>
              <w:jc w:val="left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092" w:type="dxa"/>
            <w:vMerge w:val="restart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影响途径</w:t>
            </w:r>
          </w:p>
        </w:tc>
        <w:tc>
          <w:tcPr>
            <w:tcW w:w="5103" w:type="dxa"/>
            <w:gridSpan w:val="6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水污染影响型</w:t>
            </w:r>
          </w:p>
        </w:tc>
        <w:tc>
          <w:tcPr>
            <w:tcW w:w="4398" w:type="dxa"/>
            <w:gridSpan w:val="7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水文要素紊影响型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233" w:hRule="atLeast"/>
        </w:trPr>
        <w:tc>
          <w:tcPr>
            <w:tcW w:w="2870" w:type="dxa"/>
            <w:gridSpan w:val="2"/>
            <w:vMerge w:val="continue"/>
            <w:shd w:val="clear" w:color="auto" w:fill="auto"/>
          </w:tcPr>
          <w:p>
            <w:pPr>
              <w:jc w:val="left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092" w:type="dxa"/>
            <w:vMerge w:val="continue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103" w:type="dxa"/>
            <w:gridSpan w:val="6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直接排放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间接排放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√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其他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  <w:tc>
          <w:tcPr>
            <w:tcW w:w="4398" w:type="dxa"/>
            <w:gridSpan w:val="7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水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温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口；径流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口；水域面积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524" w:hRule="atLeast"/>
        </w:trPr>
        <w:tc>
          <w:tcPr>
            <w:tcW w:w="2870" w:type="dxa"/>
            <w:gridSpan w:val="2"/>
            <w:vMerge w:val="continue"/>
            <w:shd w:val="clear" w:color="auto" w:fill="auto"/>
          </w:tcPr>
          <w:p>
            <w:pPr>
              <w:jc w:val="left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092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影响因子</w:t>
            </w:r>
          </w:p>
        </w:tc>
        <w:tc>
          <w:tcPr>
            <w:tcW w:w="5103" w:type="dxa"/>
            <w:gridSpan w:val="6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持久性污染物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有毒有害污染物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非持久性污染物√；</w:t>
            </w:r>
          </w:p>
          <w:p>
            <w:pPr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pH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值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热污染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富营养化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其他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口</w:t>
            </w:r>
          </w:p>
        </w:tc>
        <w:tc>
          <w:tcPr>
            <w:tcW w:w="4398" w:type="dxa"/>
            <w:gridSpan w:val="7"/>
            <w:shd w:val="clear" w:color="auto" w:fill="auto"/>
            <w:vAlign w:val="center"/>
          </w:tcPr>
          <w:p>
            <w:pPr>
              <w:widowControl/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水温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口；水位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（水深）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流速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；流速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口；其他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Times New Roman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287" w:hRule="atLeast"/>
        </w:trPr>
        <w:tc>
          <w:tcPr>
            <w:tcW w:w="4962" w:type="dxa"/>
            <w:gridSpan w:val="3"/>
            <w:vMerge w:val="restart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评价等级</w:t>
            </w:r>
          </w:p>
        </w:tc>
        <w:tc>
          <w:tcPr>
            <w:tcW w:w="5103" w:type="dxa"/>
            <w:gridSpan w:val="6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水污染影响型</w:t>
            </w:r>
          </w:p>
        </w:tc>
        <w:tc>
          <w:tcPr>
            <w:tcW w:w="4398" w:type="dxa"/>
            <w:gridSpan w:val="7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水文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要素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影响型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439" w:hRule="atLeast"/>
        </w:trPr>
        <w:tc>
          <w:tcPr>
            <w:tcW w:w="4962" w:type="dxa"/>
            <w:gridSpan w:val="3"/>
            <w:vMerge w:val="continue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103" w:type="dxa"/>
            <w:gridSpan w:val="6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一级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口；二级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口；三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级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A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三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级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B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√</w:t>
            </w:r>
          </w:p>
        </w:tc>
        <w:tc>
          <w:tcPr>
            <w:tcW w:w="4398" w:type="dxa"/>
            <w:gridSpan w:val="7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一级 口；二级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三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级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60" w:hRule="atLeast"/>
        </w:trPr>
        <w:tc>
          <w:tcPr>
            <w:tcW w:w="2694" w:type="dxa"/>
            <w:vMerge w:val="restart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现状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调查</w:t>
            </w:r>
          </w:p>
          <w:p>
            <w:pP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</w:p>
        </w:tc>
        <w:tc>
          <w:tcPr>
            <w:tcW w:w="2268" w:type="dxa"/>
            <w:gridSpan w:val="2"/>
            <w:vMerge w:val="restart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区域污染源</w:t>
            </w:r>
          </w:p>
        </w:tc>
        <w:tc>
          <w:tcPr>
            <w:tcW w:w="5103" w:type="dxa"/>
            <w:gridSpan w:val="6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调查项目</w:t>
            </w:r>
          </w:p>
        </w:tc>
        <w:tc>
          <w:tcPr>
            <w:tcW w:w="4398" w:type="dxa"/>
            <w:gridSpan w:val="7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数据来源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254" w:hRule="atLeast"/>
        </w:trPr>
        <w:tc>
          <w:tcPr>
            <w:tcW w:w="2694" w:type="dxa"/>
            <w:vMerge w:val="continue"/>
            <w:vAlign w:val="center"/>
          </w:tcPr>
          <w:p>
            <w:pP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continue"/>
            <w:shd w:val="clear" w:color="auto" w:fill="auto"/>
            <w:vAlign w:val="center"/>
          </w:tcPr>
          <w:p>
            <w:pPr>
              <w:jc w:val="left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gridSpan w:val="4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已建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口；在建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拟建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其他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  <w:tc>
          <w:tcPr>
            <w:tcW w:w="1843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拟替代的污染源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  <w:tc>
          <w:tcPr>
            <w:tcW w:w="4398" w:type="dxa"/>
            <w:gridSpan w:val="7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排污许可证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环评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口；环保验收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口；既有实现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测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现场监测 口；入河排放口数据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；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其他口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541" w:hRule="atLeast"/>
        </w:trPr>
        <w:tc>
          <w:tcPr>
            <w:tcW w:w="2694" w:type="dxa"/>
            <w:vMerge w:val="continue"/>
            <w:vAlign w:val="center"/>
          </w:tcPr>
          <w:p>
            <w:pP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restart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受影响水体水环锐质量</w:t>
            </w:r>
          </w:p>
        </w:tc>
        <w:tc>
          <w:tcPr>
            <w:tcW w:w="5103" w:type="dxa"/>
            <w:gridSpan w:val="6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调查时期</w:t>
            </w:r>
          </w:p>
        </w:tc>
        <w:tc>
          <w:tcPr>
            <w:tcW w:w="4398" w:type="dxa"/>
            <w:gridSpan w:val="7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数据来源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337" w:hRule="atLeast"/>
        </w:trPr>
        <w:tc>
          <w:tcPr>
            <w:tcW w:w="2694" w:type="dxa"/>
            <w:vMerge w:val="continue"/>
            <w:vAlign w:val="center"/>
          </w:tcPr>
          <w:p>
            <w:pP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continue"/>
            <w:shd w:val="clear" w:color="auto" w:fill="auto"/>
            <w:vAlign w:val="center"/>
          </w:tcPr>
          <w:p>
            <w:pPr>
              <w:jc w:val="left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103" w:type="dxa"/>
            <w:gridSpan w:val="6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丰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水期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平水期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枯水期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冰封期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春季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口；夏季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秋季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冬季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  <w:tc>
          <w:tcPr>
            <w:tcW w:w="4398" w:type="dxa"/>
            <w:gridSpan w:val="7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生态环境保护主管部门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口；补充监测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其他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416" w:hRule="atLeast"/>
        </w:trPr>
        <w:tc>
          <w:tcPr>
            <w:tcW w:w="2694" w:type="dxa"/>
            <w:vMerge w:val="continue"/>
            <w:vAlign w:val="center"/>
          </w:tcPr>
          <w:p>
            <w:pP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区域水资源开发利用状况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未开发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开发量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40%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以下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；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开发量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>40%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以上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634" w:hRule="atLeast"/>
        </w:trPr>
        <w:tc>
          <w:tcPr>
            <w:tcW w:w="2694" w:type="dxa"/>
            <w:vMerge w:val="continue"/>
            <w:vAlign w:val="center"/>
          </w:tcPr>
          <w:p>
            <w:pP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水文情势调查</w:t>
            </w:r>
          </w:p>
        </w:tc>
        <w:tc>
          <w:tcPr>
            <w:tcW w:w="5103" w:type="dxa"/>
            <w:gridSpan w:val="6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丰水期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口；平水期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口；枯水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期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冰封期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春季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口；夏季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口；秋季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冬季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  <w:tc>
          <w:tcPr>
            <w:tcW w:w="4398" w:type="dxa"/>
            <w:gridSpan w:val="7"/>
            <w:shd w:val="clear" w:color="auto" w:fill="auto"/>
            <w:vAlign w:val="center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水行政主管部门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口；补充监测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口；其他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117" w:hRule="atLeast"/>
        </w:trPr>
        <w:tc>
          <w:tcPr>
            <w:tcW w:w="2694" w:type="dxa"/>
            <w:vMerge w:val="continue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restart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补充监测</w:t>
            </w:r>
          </w:p>
        </w:tc>
        <w:tc>
          <w:tcPr>
            <w:tcW w:w="5103" w:type="dxa"/>
            <w:gridSpan w:val="6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监测时期</w:t>
            </w:r>
          </w:p>
        </w:tc>
        <w:tc>
          <w:tcPr>
            <w:tcW w:w="1842" w:type="dxa"/>
            <w:gridSpan w:val="4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监测因子</w:t>
            </w:r>
          </w:p>
        </w:tc>
        <w:tc>
          <w:tcPr>
            <w:tcW w:w="2556" w:type="dxa"/>
            <w:gridSpan w:val="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监测断面或点位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54" w:hRule="atLeast"/>
        </w:trPr>
        <w:tc>
          <w:tcPr>
            <w:tcW w:w="2694" w:type="dxa"/>
            <w:vMerge w:val="continue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103" w:type="dxa"/>
            <w:gridSpan w:val="6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丰水期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口；平水期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口；枯水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期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冰封期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春季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口；夏季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口；秋季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冬季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  <w:tc>
          <w:tcPr>
            <w:tcW w:w="1842" w:type="dxa"/>
            <w:gridSpan w:val="4"/>
            <w:shd w:val="clear" w:color="auto" w:fill="auto"/>
            <w:vAlign w:val="center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</w:t>
            </w:r>
          </w:p>
        </w:tc>
        <w:tc>
          <w:tcPr>
            <w:tcW w:w="2556" w:type="dxa"/>
            <w:gridSpan w:val="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监测测断面或点位个数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（）个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480" w:hRule="atLeast"/>
        </w:trPr>
        <w:tc>
          <w:tcPr>
            <w:tcW w:w="2694" w:type="dxa"/>
            <w:vMerge w:val="restart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现状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评价</w:t>
            </w: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评价范围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河流长度（）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km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； 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湖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明库、河口及近岸海域面积（）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km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²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10" w:hRule="atLeast"/>
        </w:trPr>
        <w:tc>
          <w:tcPr>
            <w:tcW w:w="2694" w:type="dxa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评价因子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20" w:hRule="atLeast"/>
        </w:trPr>
        <w:tc>
          <w:tcPr>
            <w:tcW w:w="2694" w:type="dxa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restart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评价标准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河流、湖库河口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I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类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II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类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皿类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√；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IV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类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V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类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20" w:hRule="atLeast"/>
        </w:trPr>
        <w:tc>
          <w:tcPr>
            <w:tcW w:w="2694" w:type="dxa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近岸海域第一类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第二类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第一类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第四类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10" w:hRule="atLeast"/>
        </w:trPr>
        <w:tc>
          <w:tcPr>
            <w:tcW w:w="2694" w:type="dxa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continue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规划年评价标准（）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966" w:hRule="atLeast"/>
        </w:trPr>
        <w:tc>
          <w:tcPr>
            <w:tcW w:w="2694" w:type="dxa"/>
            <w:vMerge w:val="continue"/>
            <w:shd w:val="clear" w:color="auto" w:fill="auto"/>
          </w:tcPr>
          <w:p>
            <w:pPr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评价时期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丰水期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口；平水期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口；枯水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期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冰封期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春季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口；夏季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口；秋季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冬季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2798" w:hRule="atLeast"/>
        </w:trPr>
        <w:tc>
          <w:tcPr>
            <w:tcW w:w="2694" w:type="dxa"/>
            <w:vMerge w:val="continue"/>
            <w:shd w:val="clear" w:color="auto" w:fill="auto"/>
          </w:tcPr>
          <w:p>
            <w:pPr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评价结论</w:t>
            </w:r>
          </w:p>
        </w:tc>
        <w:tc>
          <w:tcPr>
            <w:tcW w:w="7446" w:type="dxa"/>
            <w:gridSpan w:val="11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水环境功能区或水功能区、近岸海域环境劝能区水质达标状况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口：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达标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√；不达标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水环境控制单元或断面水质达标状况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口：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 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达标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不达标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水环搅保护目标质量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状况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口：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达标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口；不达标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对照断面、控制断面等代表性断面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的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水质状况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口：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达标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口；不达标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widowControl/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底泥污染评价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widowControl/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水资源与开发利用程度及其水文情势评价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水环搅质量回顾评价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流域〈区域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水资源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（包括水能资源）与开发利用总体状况、生态流量管理要求与现状满足程度、建设项目占用水域空间的水流状况与河湖演变状况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  <w:tc>
          <w:tcPr>
            <w:tcW w:w="2055" w:type="dxa"/>
            <w:gridSpan w:val="2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达标区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不达标区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223" w:hRule="atLeast"/>
        </w:trPr>
        <w:tc>
          <w:tcPr>
            <w:tcW w:w="2694" w:type="dxa"/>
            <w:vMerge w:val="restart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影响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预测</w:t>
            </w: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预测范围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河流长度（）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km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； 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湖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明库、河口及近岸海域面积（）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km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²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10" w:hRule="atLeast"/>
        </w:trPr>
        <w:tc>
          <w:tcPr>
            <w:tcW w:w="2694" w:type="dxa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预测因子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19" w:hRule="atLeast"/>
        </w:trPr>
        <w:tc>
          <w:tcPr>
            <w:tcW w:w="2694" w:type="dxa"/>
            <w:vMerge w:val="continue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预测时期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丰水期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口；平水期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口；枯水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期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冰封期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widowControl/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春季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口；夏季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口；秋季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冬季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设计水文条件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544" w:hRule="atLeast"/>
        </w:trPr>
        <w:tc>
          <w:tcPr>
            <w:tcW w:w="2694" w:type="dxa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预测情景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建设期 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生产运行期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 服务期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满后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口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正常工况 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I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正常工况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污染控制和减缓措施方案 口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区（流）域环境质量改善目标要求情景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428" w:hRule="atLeast"/>
        </w:trPr>
        <w:tc>
          <w:tcPr>
            <w:tcW w:w="2694" w:type="dxa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预测方法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数值解 口；解析解 口；其他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导则推荐模式 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其他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471" w:hRule="atLeast"/>
        </w:trPr>
        <w:tc>
          <w:tcPr>
            <w:tcW w:w="2694" w:type="dxa"/>
            <w:vMerge w:val="restart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环境影响评价</w:t>
            </w: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水污染控制和水环环境影响减缓措施有效性评价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区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（流）域水环境质量改善目标 口；  替代削减源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2556" w:hRule="atLeast"/>
        </w:trPr>
        <w:tc>
          <w:tcPr>
            <w:tcW w:w="2694" w:type="dxa"/>
            <w:vMerge w:val="continue"/>
            <w:tcBorders>
              <w:bottom w:val="single" w:color="000000" w:sz="8" w:space="0"/>
            </w:tcBorders>
            <w:shd w:val="clear" w:color="auto" w:fill="auto"/>
            <w:vAlign w:val="center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tcBorders>
              <w:bottom w:val="single" w:color="000000" w:sz="8" w:space="0"/>
            </w:tcBorders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水环境影响评价</w:t>
            </w:r>
          </w:p>
        </w:tc>
        <w:tc>
          <w:tcPr>
            <w:tcW w:w="9501" w:type="dxa"/>
            <w:gridSpan w:val="13"/>
            <w:tcBorders>
              <w:bottom w:val="single" w:color="000000" w:sz="8" w:space="0"/>
            </w:tcBorders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排放放口混合区外满足水环境管理要求口</w:t>
            </w:r>
          </w:p>
          <w:p>
            <w:pPr>
              <w:widowControl/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水环境功能区或水功能区、近岸海域环填功能区水质直达标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widowControl/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满足水环境保护目标水域水环境质量要求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水环境控制单元或断面水质达标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√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满足重点水污染物排放总量控制指标要求，重点行业建设项目，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主变污染物排放满足等量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或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减量替代要求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满足区（流）域水环境质量改善目标要求 口</w:t>
            </w:r>
          </w:p>
          <w:p>
            <w:pP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水文要素影响型建设项目同时应包括水文情势变化评价、主要水文特征值影响评价、生态流量符合性评价 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</w:p>
          <w:p>
            <w:pP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对于新建设或调整入河〈湖库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、近岸海域〉始放口的建设项目，应包括排放口设置的环境合理性评价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</w:p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满足生态保护红线、水环境质量底线、资源利用上线和环境准入清单管理要求 口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428" w:hRule="atLeast"/>
        </w:trPr>
        <w:tc>
          <w:tcPr>
            <w:tcW w:w="2694" w:type="dxa"/>
            <w:vMerge w:val="continue"/>
            <w:shd w:val="clear" w:color="auto" w:fill="auto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restart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污染源排放量核算</w:t>
            </w: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污染物名称</w:t>
            </w:r>
          </w:p>
        </w:tc>
        <w:tc>
          <w:tcPr>
            <w:tcW w:w="4466" w:type="dxa"/>
            <w:gridSpan w:val="7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排放量/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(t/a )</w:t>
            </w:r>
          </w:p>
        </w:tc>
        <w:tc>
          <w:tcPr>
            <w:tcW w:w="2767" w:type="dxa"/>
            <w:gridSpan w:val="4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排放浓度/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(mg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L)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88" w:hRule="atLeast"/>
        </w:trPr>
        <w:tc>
          <w:tcPr>
            <w:tcW w:w="2694" w:type="dxa"/>
            <w:vMerge w:val="continue"/>
            <w:shd w:val="clear" w:color="auto" w:fill="auto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</w:t>
            </w:r>
          </w:p>
        </w:tc>
        <w:tc>
          <w:tcPr>
            <w:tcW w:w="4466" w:type="dxa"/>
            <w:gridSpan w:val="7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</w:t>
            </w:r>
          </w:p>
        </w:tc>
        <w:tc>
          <w:tcPr>
            <w:tcW w:w="2767" w:type="dxa"/>
            <w:gridSpan w:val="4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833" w:hRule="atLeast"/>
        </w:trPr>
        <w:tc>
          <w:tcPr>
            <w:tcW w:w="2694" w:type="dxa"/>
            <w:vMerge w:val="continue"/>
            <w:shd w:val="clear" w:color="auto" w:fill="auto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continue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污染源名称</w:t>
            </w:r>
          </w:p>
        </w:tc>
        <w:tc>
          <w:tcPr>
            <w:tcW w:w="2510" w:type="dxa"/>
            <w:gridSpan w:val="4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排污许可证编号</w:t>
            </w:r>
          </w:p>
        </w:tc>
        <w:tc>
          <w:tcPr>
            <w:tcW w:w="1649" w:type="dxa"/>
            <w:gridSpan w:val="2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污染物名称</w:t>
            </w:r>
          </w:p>
        </w:tc>
        <w:tc>
          <w:tcPr>
            <w:tcW w:w="2645" w:type="dxa"/>
            <w:gridSpan w:val="5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排放量/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(t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a )</w:t>
            </w:r>
          </w:p>
        </w:tc>
        <w:tc>
          <w:tcPr>
            <w:tcW w:w="1422" w:type="dxa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排放浓度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1 (mg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L)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788" w:hRule="atLeast"/>
        </w:trPr>
        <w:tc>
          <w:tcPr>
            <w:tcW w:w="2694" w:type="dxa"/>
            <w:vMerge w:val="continue"/>
            <w:shd w:val="clear" w:color="auto" w:fill="auto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替代源排放情况</w:t>
            </w:r>
          </w:p>
        </w:tc>
        <w:tc>
          <w:tcPr>
            <w:tcW w:w="1275" w:type="dxa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</w:t>
            </w:r>
          </w:p>
        </w:tc>
        <w:tc>
          <w:tcPr>
            <w:tcW w:w="2510" w:type="dxa"/>
            <w:gridSpan w:val="4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</w:t>
            </w:r>
          </w:p>
        </w:tc>
        <w:tc>
          <w:tcPr>
            <w:tcW w:w="1649" w:type="dxa"/>
            <w:gridSpan w:val="2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</w:t>
            </w:r>
          </w:p>
        </w:tc>
        <w:tc>
          <w:tcPr>
            <w:tcW w:w="2645" w:type="dxa"/>
            <w:gridSpan w:val="5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</w:t>
            </w:r>
          </w:p>
        </w:tc>
        <w:tc>
          <w:tcPr>
            <w:tcW w:w="1422" w:type="dxa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405" w:hRule="atLeast"/>
        </w:trPr>
        <w:tc>
          <w:tcPr>
            <w:tcW w:w="2694" w:type="dxa"/>
            <w:vMerge w:val="continue"/>
            <w:shd w:val="clear" w:color="auto" w:fill="auto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restart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生态流量确定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生态流量，一般水期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( )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m³/s；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鱼类繁殖期（）一般水期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( )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m³/s；其他〈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)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m³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/s</w:t>
            </w:r>
          </w:p>
        </w:tc>
      </w:tr>
      <w:tr>
        <w:tblPrEx>
          <w:tblBorders>
            <w:top w:val="single" w:color="auto" w:sz="4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5" w:type="dxa"/>
          <w:trHeight w:val="788" w:hRule="atLeast"/>
        </w:trPr>
        <w:tc>
          <w:tcPr>
            <w:tcW w:w="2694" w:type="dxa"/>
            <w:vMerge w:val="continue"/>
            <w:shd w:val="clear" w:color="auto" w:fill="auto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continue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生态水衍，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一般水期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（）m；鱼类繁殖期（）m；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其他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（）m；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8" w:hRule="atLeast"/>
        </w:trPr>
        <w:tc>
          <w:tcPr>
            <w:tcW w:w="2709" w:type="dxa"/>
            <w:gridSpan w:val="2"/>
            <w:vMerge w:val="restart"/>
            <w:tcBorders>
              <w:bottom w:val="single" w:color="000000" w:sz="8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防治措施</w:t>
            </w:r>
          </w:p>
        </w:tc>
        <w:tc>
          <w:tcPr>
            <w:tcW w:w="2268" w:type="dxa"/>
            <w:gridSpan w:val="2"/>
            <w:tcBorders>
              <w:bottom w:val="single" w:color="000000" w:sz="8" w:space="0"/>
            </w:tcBorders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环保措施</w:t>
            </w:r>
          </w:p>
        </w:tc>
        <w:tc>
          <w:tcPr>
            <w:tcW w:w="9501" w:type="dxa"/>
            <w:gridSpan w:val="13"/>
            <w:tcBorders>
              <w:bottom w:val="single" w:color="000000" w:sz="8" w:space="0"/>
            </w:tcBorders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污水处理设施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√；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水文减缓设施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生态流量保障设施 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: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区域削减 口；依托其他工程措施 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其他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2" w:hRule="atLeast"/>
        </w:trPr>
        <w:tc>
          <w:tcPr>
            <w:tcW w:w="2709" w:type="dxa"/>
            <w:gridSpan w:val="2"/>
            <w:vMerge w:val="continue"/>
            <w:tcBorders>
              <w:bottom w:val="single" w:color="000000" w:sz="8" w:space="0"/>
            </w:tcBorders>
            <w:shd w:val="clear" w:color="auto" w:fill="auto"/>
            <w:vAlign w:val="center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restart"/>
            <w:tcBorders>
              <w:bottom w:val="single" w:color="000000" w:sz="8" w:space="0"/>
            </w:tcBorders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监测计划</w:t>
            </w:r>
          </w:p>
        </w:tc>
        <w:tc>
          <w:tcPr>
            <w:tcW w:w="3088" w:type="dxa"/>
            <w:gridSpan w:val="3"/>
            <w:tcBorders>
              <w:bottom w:val="single" w:color="000000" w:sz="8" w:space="0"/>
            </w:tcBorders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>　</w:t>
            </w:r>
          </w:p>
        </w:tc>
        <w:tc>
          <w:tcPr>
            <w:tcW w:w="2688" w:type="dxa"/>
            <w:gridSpan w:val="5"/>
            <w:tcBorders>
              <w:bottom w:val="single" w:color="000000" w:sz="8" w:space="0"/>
            </w:tcBorders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环境质量</w:t>
            </w:r>
          </w:p>
        </w:tc>
        <w:tc>
          <w:tcPr>
            <w:tcW w:w="3725" w:type="dxa"/>
            <w:gridSpan w:val="5"/>
            <w:tcBorders>
              <w:bottom w:val="single" w:color="000000" w:sz="8" w:space="0"/>
            </w:tcBorders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污染源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</w:trPr>
        <w:tc>
          <w:tcPr>
            <w:tcW w:w="2709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088" w:type="dxa"/>
            <w:gridSpan w:val="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监测方案</w:t>
            </w:r>
          </w:p>
        </w:tc>
        <w:tc>
          <w:tcPr>
            <w:tcW w:w="2688" w:type="dxa"/>
            <w:gridSpan w:val="5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手动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自动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口；无监测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  <w:tc>
          <w:tcPr>
            <w:tcW w:w="3725" w:type="dxa"/>
            <w:gridSpan w:val="5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手动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√；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自动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口；无监测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" w:hRule="atLeast"/>
        </w:trPr>
        <w:tc>
          <w:tcPr>
            <w:tcW w:w="2709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088" w:type="dxa"/>
            <w:gridSpan w:val="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监测点位</w:t>
            </w:r>
          </w:p>
        </w:tc>
        <w:tc>
          <w:tcPr>
            <w:tcW w:w="2688" w:type="dxa"/>
            <w:gridSpan w:val="5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</w:t>
            </w:r>
          </w:p>
        </w:tc>
        <w:tc>
          <w:tcPr>
            <w:tcW w:w="3725" w:type="dxa"/>
            <w:gridSpan w:val="5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eastAsia="zh-CN"/>
              </w:rPr>
              <w:t>污水排放口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）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6" w:hRule="atLeast"/>
        </w:trPr>
        <w:tc>
          <w:tcPr>
            <w:tcW w:w="2709" w:type="dxa"/>
            <w:gridSpan w:val="2"/>
            <w:vMerge w:val="continue"/>
            <w:shd w:val="clear" w:color="auto" w:fill="auto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vMerge w:val="continue"/>
            <w:shd w:val="clear" w:color="auto" w:fill="auto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088" w:type="dxa"/>
            <w:gridSpan w:val="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监测因子</w:t>
            </w:r>
          </w:p>
        </w:tc>
        <w:tc>
          <w:tcPr>
            <w:tcW w:w="2688" w:type="dxa"/>
            <w:gridSpan w:val="5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（）</w:t>
            </w:r>
          </w:p>
        </w:tc>
        <w:tc>
          <w:tcPr>
            <w:tcW w:w="3725" w:type="dxa"/>
            <w:gridSpan w:val="5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（</w:t>
            </w:r>
            <w:r>
              <w:rPr>
                <w:color w:val="000000"/>
                <w:kern w:val="0"/>
                <w:sz w:val="21"/>
                <w:szCs w:val="21"/>
              </w:rPr>
              <w:t>pH、SS、COD、BOD</w:t>
            </w:r>
            <w:r>
              <w:rPr>
                <w:color w:val="000000"/>
                <w:kern w:val="0"/>
                <w:sz w:val="21"/>
                <w:szCs w:val="21"/>
                <w:vertAlign w:val="subscript"/>
              </w:rPr>
              <w:t>5</w:t>
            </w:r>
            <w:r>
              <w:rPr>
                <w:color w:val="000000"/>
                <w:kern w:val="0"/>
                <w:sz w:val="21"/>
                <w:szCs w:val="21"/>
              </w:rPr>
              <w:t>、NH</w:t>
            </w:r>
            <w:r>
              <w:rPr>
                <w:color w:val="000000"/>
                <w:kern w:val="0"/>
                <w:sz w:val="21"/>
                <w:szCs w:val="21"/>
                <w:vertAlign w:val="subscript"/>
              </w:rPr>
              <w:t>3</w:t>
            </w:r>
            <w:r>
              <w:rPr>
                <w:color w:val="000000"/>
                <w:kern w:val="0"/>
                <w:sz w:val="21"/>
                <w:szCs w:val="21"/>
              </w:rPr>
              <w:t>-N、</w:t>
            </w:r>
            <w:r>
              <w:rPr>
                <w:rFonts w:hint="eastAsia"/>
                <w:color w:val="000000"/>
                <w:kern w:val="0"/>
                <w:sz w:val="21"/>
                <w:szCs w:val="21"/>
                <w:lang w:eastAsia="zh-CN"/>
              </w:rPr>
              <w:t>动植物油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）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" w:hRule="atLeast"/>
        </w:trPr>
        <w:tc>
          <w:tcPr>
            <w:tcW w:w="2709" w:type="dxa"/>
            <w:gridSpan w:val="2"/>
            <w:vMerge w:val="continue"/>
            <w:shd w:val="clear" w:color="auto" w:fill="auto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污染物排放消单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6" w:hRule="atLeast"/>
        </w:trPr>
        <w:tc>
          <w:tcPr>
            <w:tcW w:w="4977" w:type="dxa"/>
            <w:gridSpan w:val="4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评价结论</w:t>
            </w:r>
          </w:p>
        </w:tc>
        <w:tc>
          <w:tcPr>
            <w:tcW w:w="9501" w:type="dxa"/>
            <w:gridSpan w:val="13"/>
            <w:shd w:val="clear" w:color="auto" w:fill="auto"/>
            <w:vAlign w:val="center"/>
          </w:tcPr>
          <w:p>
            <w:pPr>
              <w:widowControl/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可以接受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口，不可以接受</w:t>
            </w:r>
            <w:r>
              <w:rPr>
                <w:rFonts w:ascii="宋体" w:hAnsi="宋体" w:eastAsia="宋体" w:cs="宋体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</w:rPr>
              <w:t>。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" w:hRule="atLeast"/>
        </w:trPr>
        <w:tc>
          <w:tcPr>
            <w:tcW w:w="14478" w:type="dxa"/>
            <w:gridSpan w:val="17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eastAsia="zh-CN"/>
              </w:rPr>
              <w:t>注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，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  <w:t xml:space="preserve"> "</w:t>
            </w: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口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  <w:t>"</w:t>
            </w: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为勾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</w:rPr>
              <w:t>选项</w:t>
            </w: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；可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</w:rPr>
              <w:t>√；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  <w:t xml:space="preserve"> " ( ) "</w:t>
            </w: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为内容填写项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，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  <w:t>"</w:t>
            </w: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备注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  <w:t xml:space="preserve">"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为其他补充内容。</w:t>
            </w:r>
          </w:p>
        </w:tc>
      </w:tr>
    </w:tbl>
    <w:p>
      <w:pPr>
        <w:pStyle w:val="2"/>
      </w:pP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F1D0B67"/>
    <w:rsid w:val="074733B7"/>
    <w:rsid w:val="17537250"/>
    <w:rsid w:val="2CED210F"/>
    <w:rsid w:val="2D0B2E7D"/>
    <w:rsid w:val="30315C73"/>
    <w:rsid w:val="33DE043B"/>
    <w:rsid w:val="35B673D5"/>
    <w:rsid w:val="391A6EC2"/>
    <w:rsid w:val="3EFE5638"/>
    <w:rsid w:val="462273B4"/>
    <w:rsid w:val="4A4C48E4"/>
    <w:rsid w:val="4F1D0B67"/>
    <w:rsid w:val="5A611FC6"/>
    <w:rsid w:val="5A99767F"/>
    <w:rsid w:val="61F42855"/>
    <w:rsid w:val="6CEB55CA"/>
    <w:rsid w:val="6E022B71"/>
    <w:rsid w:val="73DC378F"/>
    <w:rsid w:val="7F6B50F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2"/>
    <w:basedOn w:val="1"/>
    <w:next w:val="1"/>
    <w:qFormat/>
    <w:uiPriority w:val="0"/>
    <w:pPr>
      <w:spacing w:line="360" w:lineRule="auto"/>
      <w:ind w:left="420" w:leftChars="200"/>
    </w:pPr>
    <w:rPr>
      <w:sz w:val="28"/>
      <w:szCs w:val="24"/>
    </w:rPr>
  </w:style>
  <w:style w:type="paragraph" w:styleId="3">
    <w:name w:val="Body Text"/>
    <w:basedOn w:val="1"/>
    <w:next w:val="4"/>
    <w:qFormat/>
    <w:uiPriority w:val="0"/>
    <w:rPr>
      <w:sz w:val="28"/>
      <w:szCs w:val="20"/>
    </w:rPr>
  </w:style>
  <w:style w:type="paragraph" w:customStyle="1" w:styleId="4">
    <w:name w:val="xl27"/>
    <w:basedOn w:val="1"/>
    <w:qFormat/>
    <w:uiPriority w:val="0"/>
    <w:pPr>
      <w:widowControl/>
      <w:pBdr>
        <w:bottom w:val="single" w:color="auto" w:sz="12" w:space="0"/>
      </w:pBdr>
      <w:spacing w:before="100" w:after="100"/>
      <w:jc w:val="center"/>
    </w:pPr>
    <w:rPr>
      <w:rFonts w:ascii="宋体" w:hAnsi="宋体"/>
      <w:kern w:val="0"/>
      <w:szCs w:val="20"/>
    </w:rPr>
  </w:style>
  <w:style w:type="table" w:styleId="6">
    <w:name w:val="Table Grid"/>
    <w:basedOn w:val="5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2019-09-02T01:51:00Z</dcterms:created>
  <dc:creator>Mabye</dc:creator>
  <cp:lastModifiedBy>Administrator</cp:lastModifiedBy>
  <dcterms:modified xsi:type="dcterms:W3CDTF">2019-10-15T09:51:11Z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