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邵阳县白仓镇人民政府</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29</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楷体" w:hAnsi="楷体" w:eastAsia="楷体" w:cs="楷体"/>
          <w:b/>
          <w:bCs/>
          <w:sz w:val="32"/>
          <w:szCs w:val="32"/>
        </w:rPr>
      </w:pPr>
      <w:r>
        <w:rPr>
          <w:rFonts w:hint="eastAsia" w:eastAsia="仿宋_GB2312"/>
          <w:sz w:val="32"/>
          <w:szCs w:val="32"/>
          <w:lang w:val="en-US" w:eastAsia="zh-CN"/>
        </w:rPr>
        <w:t>白仓镇人民政府单位内设机构包括“五办四中心一大队一站一所”:党政综合办公室、基层党建办公室、经济发展办公室、社会事务办公室、社会治安和应急管理办公室、自然资源和村镇建设事务中心、政务和社会事务服务中心、生态环境事务中心、农业综合服务中心、综合行政执法大队、退役军人服务站、财政所。</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部门在职实有人数168人，其中：财政全额供养164人；财政差额供养4人，车改后实保留车辆1辆，2023年上级调拨环保执法车辆1辆。</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根据《宪法》和《预算法》规定，邵阳县</w:t>
      </w:r>
      <w:r>
        <w:rPr>
          <w:rFonts w:hint="eastAsia" w:ascii="仿宋_GB2312" w:hAnsi="仿宋_GB2312" w:eastAsia="仿宋_GB2312" w:cs="仿宋_GB2312"/>
          <w:b w:val="0"/>
          <w:bCs w:val="0"/>
          <w:sz w:val="32"/>
          <w:szCs w:val="32"/>
          <w:lang w:eastAsia="zh-CN"/>
        </w:rPr>
        <w:t>白仓镇</w:t>
      </w:r>
      <w:r>
        <w:rPr>
          <w:rFonts w:hint="eastAsia" w:ascii="仿宋_GB2312" w:hAnsi="仿宋_GB2312" w:eastAsia="仿宋_GB2312" w:cs="仿宋_GB2312"/>
          <w:b w:val="0"/>
          <w:bCs w:val="0"/>
          <w:sz w:val="32"/>
          <w:szCs w:val="32"/>
        </w:rPr>
        <w:t>人民政府依法履行下列职能职责：</w:t>
      </w:r>
    </w:p>
    <w:p>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（1）执行上级国家行政机关的决定，命令和国家制定的法令，法规，接受同级党委的领导，执行本级人民代表大会的各项决议，并报告执行决议、决定和命令的情况。</w:t>
      </w:r>
    </w:p>
    <w:p>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（2）制定并落实本行政区域的经济计划和措施，促进产业结构调整及其他经济保持平衡发展，全面提高人民群众的生活水平和生活质量。</w:t>
      </w:r>
    </w:p>
    <w:p>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w:t>
      </w:r>
      <w:r>
        <w:rPr>
          <w:rFonts w:hint="eastAsia" w:ascii="仿宋_GB2312" w:hAnsi="仿宋_GB2312" w:eastAsia="仿宋_GB2312" w:cs="仿宋_GB2312"/>
          <w:b w:val="0"/>
          <w:bCs w:val="0"/>
          <w:sz w:val="32"/>
          <w:szCs w:val="32"/>
          <w:lang w:eastAsia="zh-CN"/>
        </w:rPr>
        <w:t>镇</w:t>
      </w:r>
      <w:r>
        <w:rPr>
          <w:rFonts w:hint="eastAsia" w:ascii="仿宋_GB2312" w:hAnsi="仿宋_GB2312" w:eastAsia="仿宋_GB2312" w:cs="仿宋_GB2312"/>
          <w:b w:val="0"/>
          <w:bCs w:val="0"/>
          <w:sz w:val="32"/>
          <w:szCs w:val="32"/>
        </w:rPr>
        <w:t>级财政的监督和管理，按计划组织，管理镇财政收入和支出，执行国家有关财经纪律和政策，保证国家财政收入的完成；做好统计工作。</w:t>
      </w:r>
    </w:p>
    <w:p>
      <w:pPr>
        <w:widowControl/>
        <w:spacing w:line="600" w:lineRule="exact"/>
        <w:ind w:firstLine="645"/>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（4）协助和支持设置在本行政区域内不隶属于镇的国家机关和企事业单位工作，监督其遵守和执行国家的法律、法规和政策。</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（5）承办县人民政府交办的其他事项。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rPr>
        <w:t>年度预算申请</w:t>
      </w:r>
      <w:r>
        <w:rPr>
          <w:rFonts w:hint="eastAsia" w:ascii="仿宋_GB2312" w:hAnsi="仿宋_GB2312" w:eastAsia="仿宋_GB2312" w:cs="仿宋_GB2312"/>
          <w:color w:val="auto"/>
          <w:sz w:val="32"/>
          <w:szCs w:val="32"/>
          <w:lang w:val="en-US" w:eastAsia="zh-CN"/>
        </w:rPr>
        <w:t>2604.41</w:t>
      </w:r>
      <w:r>
        <w:rPr>
          <w:rFonts w:hint="eastAsia"/>
          <w:lang w:eastAsia="zh-CN"/>
        </w:rPr>
        <w:t>万元，在收支预算内，确保完成以下整体目标：</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lang w:eastAsia="zh-CN"/>
        </w:rPr>
        <w:t>1、保障人员支出和单位正常运转；</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lang w:val="en-US" w:eastAsia="zh-CN"/>
        </w:rPr>
        <w:t>2、</w:t>
      </w:r>
      <w:r>
        <w:rPr>
          <w:rFonts w:hint="eastAsia"/>
          <w:lang w:eastAsia="zh-CN"/>
        </w:rPr>
        <w:t>严格按照财务规章制度做好各项支出；</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lang w:val="en-US" w:eastAsia="zh-CN"/>
        </w:rPr>
        <w:t>3、</w:t>
      </w:r>
      <w:r>
        <w:rPr>
          <w:rFonts w:hint="eastAsia"/>
          <w:lang w:eastAsia="zh-CN"/>
        </w:rPr>
        <w:t>加强财务监督和支出统筹规划，杜绝不合理开支，确保三公经费只降不升。</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2023年初县财政批复部门基本支出预算为</w:t>
      </w:r>
      <w:r>
        <w:rPr>
          <w:rFonts w:hint="eastAsia" w:ascii="仿宋_GB2312" w:hAnsi="仿宋_GB2312" w:eastAsia="仿宋_GB2312" w:cs="仿宋_GB2312"/>
          <w:color w:val="auto"/>
          <w:sz w:val="32"/>
          <w:szCs w:val="32"/>
          <w:lang w:val="en-US" w:eastAsia="zh-CN"/>
        </w:rPr>
        <w:t>2604.41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其中财政拨款收入2604.41万元，其他收入0万元；财政总支出2604.41万元，其中工资福利支出1900.10万元，基本支出1549.45万元，对个人和家庭的补助支出158.03万元。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2023年终决算总收入3824.63万元，其中财政拨款收入3824.63万元，其他收入0万元；财政总支出3824.63万元，其中人员支出2275.18万元，基本支出1549.45万元，项目支出0万元。</w:t>
      </w:r>
    </w:p>
    <w:p>
      <w:pPr>
        <w:widowControl/>
        <w:spacing w:line="600" w:lineRule="exact"/>
        <w:ind w:firstLine="645"/>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（二）部门预算执行情况</w:t>
      </w:r>
    </w:p>
    <w:p>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本乡镇2023年初预算总收入2604.41万元，其中财政拨款收入2604.41万元，其他收入0万元；财政总支出2604.41万元，其中工资福利支出1900.10万元，基本支出1549.45万元，对个人和家庭的补助支出158.03万元。</w:t>
      </w:r>
    </w:p>
    <w:p>
      <w:pPr>
        <w:widowControl/>
        <w:spacing w:line="600" w:lineRule="exact"/>
        <w:ind w:firstLine="645"/>
        <w:jc w:val="left"/>
        <w:rPr>
          <w:rFonts w:hint="eastAsia" w:asciiTheme="minorEastAsia" w:hAnsiTheme="minorEastAsia" w:eastAsiaTheme="minorEastAsia" w:cstheme="minorEastAsia"/>
          <w:sz w:val="32"/>
          <w:szCs w:val="32"/>
          <w:lang w:val="en-US" w:eastAsia="zh-CN"/>
        </w:rPr>
      </w:pPr>
      <w:r>
        <w:rPr>
          <w:rFonts w:hint="eastAsia" w:ascii="仿宋_GB2312" w:hAnsi="仿宋_GB2312" w:eastAsia="仿宋_GB2312" w:cs="仿宋_GB2312"/>
          <w:color w:val="auto"/>
          <w:sz w:val="32"/>
          <w:szCs w:val="32"/>
          <w:lang w:val="en-US" w:eastAsia="zh-CN"/>
        </w:rPr>
        <w:t>本乡镇2023年终决算总收入3824.63万元，其中财政拨款收入3824.63万元，其他收入0万元；财政总支出3824.63万元，其中人员支出2275.18万元，基本支出1549.45万元，项目支出0万元</w:t>
      </w:r>
      <w:r>
        <w:rPr>
          <w:rFonts w:hint="eastAsia" w:asciiTheme="minorEastAsia" w:hAnsiTheme="minorEastAsia" w:eastAsiaTheme="minorEastAsia" w:cstheme="minorEastAsia"/>
          <w:sz w:val="32"/>
          <w:szCs w:val="32"/>
          <w:lang w:val="en-US" w:eastAsia="zh-CN"/>
        </w:rPr>
        <w:t>。</w:t>
      </w:r>
    </w:p>
    <w:p>
      <w:pPr>
        <w:widowControl/>
        <w:spacing w:line="600" w:lineRule="exact"/>
        <w:ind w:firstLine="645"/>
        <w:jc w:val="left"/>
        <w:rPr>
          <w:rFonts w:hint="eastAsia" w:eastAsia="仿宋_GB2312"/>
          <w:color w:val="auto"/>
          <w:sz w:val="32"/>
          <w:szCs w:val="32"/>
        </w:rPr>
      </w:pPr>
      <w:r>
        <w:rPr>
          <w:rFonts w:hint="eastAsia" w:eastAsia="仿宋_GB2312"/>
          <w:color w:val="auto"/>
          <w:sz w:val="32"/>
          <w:szCs w:val="32"/>
        </w:rPr>
        <w:t>2.项目支出情况</w:t>
      </w:r>
    </w:p>
    <w:p>
      <w:pPr>
        <w:widowControl/>
        <w:spacing w:line="600" w:lineRule="exact"/>
        <w:ind w:firstLine="645"/>
        <w:jc w:val="left"/>
        <w:rPr>
          <w:rFonts w:hint="eastAsia" w:eastAsia="仿宋_GB2312"/>
          <w:sz w:val="32"/>
          <w:szCs w:val="32"/>
        </w:rPr>
      </w:pPr>
      <w:r>
        <w:rPr>
          <w:rFonts w:hint="eastAsia" w:eastAsia="仿宋_GB2312"/>
          <w:sz w:val="32"/>
          <w:szCs w:val="32"/>
        </w:rPr>
        <w:t>项目支出用于单位为完成特定行政工作任务或事业发展目标而发生的支出，包括有关事业发展专项、专项业务费、基本建设支出等。202</w:t>
      </w:r>
      <w:r>
        <w:rPr>
          <w:rFonts w:hint="eastAsia" w:eastAsia="仿宋_GB2312"/>
          <w:sz w:val="32"/>
          <w:szCs w:val="32"/>
          <w:lang w:val="en-US" w:eastAsia="zh-CN"/>
        </w:rPr>
        <w:t>3</w:t>
      </w:r>
      <w:r>
        <w:rPr>
          <w:rFonts w:hint="eastAsia" w:eastAsia="仿宋_GB2312"/>
          <w:sz w:val="32"/>
          <w:szCs w:val="32"/>
        </w:rPr>
        <w:t>年年初预算批复0万元，202</w:t>
      </w:r>
      <w:r>
        <w:rPr>
          <w:rFonts w:hint="eastAsia" w:eastAsia="仿宋_GB2312"/>
          <w:sz w:val="32"/>
          <w:szCs w:val="32"/>
          <w:lang w:val="en-US" w:eastAsia="zh-CN"/>
        </w:rPr>
        <w:t>3</w:t>
      </w:r>
      <w:r>
        <w:rPr>
          <w:rFonts w:hint="eastAsia" w:eastAsia="仿宋_GB2312"/>
          <w:sz w:val="32"/>
          <w:szCs w:val="32"/>
        </w:rPr>
        <w:t>年决算项目支出0万元。</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"三公"经费使用和管理情况</w:t>
      </w:r>
    </w:p>
    <w:p>
      <w:pPr>
        <w:widowControl/>
        <w:spacing w:line="600" w:lineRule="exact"/>
        <w:ind w:firstLine="645"/>
        <w:jc w:val="left"/>
        <w:rPr>
          <w:rFonts w:hint="eastAsia" w:eastAsia="仿宋_GB2312" w:cs="Times New Roman"/>
          <w:sz w:val="32"/>
          <w:szCs w:val="32"/>
          <w:lang w:val="en-US" w:eastAsia="zh-CN"/>
        </w:rPr>
      </w:pPr>
      <w:r>
        <w:rPr>
          <w:rFonts w:hint="eastAsia" w:eastAsia="仿宋_GB2312" w:cs="Times New Roman"/>
          <w:sz w:val="32"/>
          <w:szCs w:val="32"/>
        </w:rPr>
        <w:t>2023年本部门“三公”经费预算数为3万元，其中，公务接待费2万元，公务用车购置及运行费1万元（其中，公务用车购置费0万元，公务用车运行费1万元），因公出国（境）费0万元。</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color w:val="auto"/>
        </w:rPr>
      </w:pPr>
      <w:r>
        <w:rPr>
          <w:rFonts w:hint="eastAsia" w:ascii="仿宋_GB2312" w:hAnsi="仿宋_GB2312" w:eastAsia="仿宋_GB2312" w:cs="仿宋_GB2312"/>
          <w:color w:val="auto"/>
          <w:sz w:val="32"/>
          <w:szCs w:val="32"/>
        </w:rPr>
        <w:t>全年决算支出“三公”经费</w:t>
      </w:r>
      <w:r>
        <w:rPr>
          <w:rFonts w:hint="eastAsia" w:asciiTheme="minorEastAsia" w:hAnsiTheme="minorEastAsia" w:eastAsiaTheme="minorEastAsia" w:cstheme="minorEastAsia"/>
          <w:sz w:val="32"/>
          <w:szCs w:val="32"/>
          <w:lang w:val="en-US" w:eastAsia="zh-CN"/>
        </w:rPr>
        <w:t>3.29</w:t>
      </w:r>
      <w:r>
        <w:rPr>
          <w:rFonts w:hint="eastAsia" w:ascii="仿宋_GB2312" w:hAnsi="仿宋_GB2312" w:eastAsia="仿宋_GB2312" w:cs="仿宋_GB2312"/>
          <w:color w:val="auto"/>
          <w:sz w:val="32"/>
          <w:szCs w:val="32"/>
        </w:rPr>
        <w:t>万元，其中公务接待费</w:t>
      </w:r>
      <w:r>
        <w:rPr>
          <w:rFonts w:hint="eastAsia" w:asciiTheme="minorEastAsia" w:hAnsiTheme="minorEastAsia" w:eastAsiaTheme="minorEastAsia" w:cstheme="minorEastAsia"/>
          <w:sz w:val="32"/>
          <w:szCs w:val="32"/>
          <w:lang w:val="en-US" w:eastAsia="zh-CN"/>
        </w:rPr>
        <w:t>3.29</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5" w:firstLineChars="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bidi="ar-SA"/>
        </w:rPr>
        <w:t>使用非财政拨款结余和专用结余0万元，年初结转和结余0万元，本年收入</w:t>
      </w:r>
      <w:r>
        <w:rPr>
          <w:rFonts w:hint="eastAsia" w:ascii="仿宋_GB2312" w:hAnsi="仿宋_GB2312" w:eastAsia="仿宋_GB2312" w:cs="仿宋_GB2312"/>
          <w:color w:val="auto"/>
          <w:sz w:val="32"/>
          <w:szCs w:val="32"/>
          <w:lang w:val="en-US" w:eastAsia="zh-CN"/>
        </w:rPr>
        <w:t>3824.63</w:t>
      </w:r>
      <w:r>
        <w:rPr>
          <w:rFonts w:hint="eastAsia" w:ascii="仿宋_GB2312" w:hAnsi="仿宋_GB2312" w:eastAsia="仿宋_GB2312" w:cs="仿宋_GB2312"/>
          <w:color w:val="auto"/>
          <w:kern w:val="2"/>
          <w:sz w:val="32"/>
          <w:szCs w:val="32"/>
          <w:lang w:val="en-US" w:eastAsia="zh-CN" w:bidi="ar-SA"/>
        </w:rPr>
        <w:t>万元，本年支出</w:t>
      </w:r>
      <w:r>
        <w:rPr>
          <w:rFonts w:hint="eastAsia" w:ascii="仿宋_GB2312" w:hAnsi="仿宋_GB2312" w:eastAsia="仿宋_GB2312" w:cs="仿宋_GB2312"/>
          <w:color w:val="auto"/>
          <w:sz w:val="32"/>
          <w:szCs w:val="32"/>
          <w:lang w:val="en-US" w:eastAsia="zh-CN"/>
        </w:rPr>
        <w:t>3824.63</w:t>
      </w:r>
      <w:r>
        <w:rPr>
          <w:rFonts w:hint="eastAsia" w:ascii="仿宋_GB2312" w:hAnsi="仿宋_GB2312" w:eastAsia="仿宋_GB2312" w:cs="仿宋_GB2312"/>
          <w:color w:val="auto"/>
          <w:kern w:val="2"/>
          <w:sz w:val="32"/>
          <w:szCs w:val="32"/>
          <w:lang w:val="en-US" w:eastAsia="zh-CN" w:bidi="ar-SA"/>
        </w:rPr>
        <w:t>万元，年末结转结余0万元。</w:t>
      </w:r>
    </w:p>
    <w:p>
      <w:pPr>
        <w:keepNext w:val="0"/>
        <w:keepLines w:val="0"/>
        <w:pageBreakBefore w:val="0"/>
        <w:widowControl/>
        <w:kinsoku/>
        <w:wordWrap/>
        <w:overflowPunct/>
        <w:topLinePunct w:val="0"/>
        <w:autoSpaceDE/>
        <w:autoSpaceDN/>
        <w:bidi w:val="0"/>
        <w:adjustRightInd/>
        <w:spacing w:line="600" w:lineRule="exact"/>
        <w:ind w:firstLine="645"/>
        <w:jc w:val="left"/>
        <w:textAlignment w:val="auto"/>
        <w:rPr>
          <w:rFonts w:hint="eastAsia" w:eastAsia="黑体"/>
          <w:sz w:val="32"/>
          <w:szCs w:val="32"/>
        </w:rPr>
      </w:pPr>
      <w:r>
        <w:rPr>
          <w:rFonts w:hint="eastAsia" w:eastAsia="黑体"/>
          <w:sz w:val="32"/>
          <w:szCs w:val="32"/>
        </w:rPr>
        <w:t>三、政府性基金预算支出情况</w:t>
      </w:r>
    </w:p>
    <w:p>
      <w:pPr>
        <w:pStyle w:val="2"/>
        <w:keepNext w:val="0"/>
        <w:keepLines w:val="0"/>
        <w:pageBreakBefore w:val="0"/>
        <w:kinsoku/>
        <w:wordWrap/>
        <w:overflowPunct/>
        <w:topLinePunct w:val="0"/>
        <w:autoSpaceDE/>
        <w:autoSpaceDN/>
        <w:bidi w:val="0"/>
        <w:adjustRightInd/>
        <w:spacing w:line="600" w:lineRule="exact"/>
        <w:textAlignment w:val="auto"/>
        <w:rPr>
          <w:rFonts w:hint="default" w:eastAsia="黑体"/>
          <w:lang w:val="en-US" w:eastAsia="zh-CN"/>
        </w:rPr>
      </w:pPr>
      <w:r>
        <w:rPr>
          <w:rFonts w:hint="eastAsia" w:ascii="Calibri" w:hAnsi="Calibri" w:eastAsia="仿宋_GB2312" w:cs="Times New Roman"/>
          <w:color w:val="auto"/>
          <w:kern w:val="2"/>
          <w:sz w:val="32"/>
          <w:szCs w:val="32"/>
          <w:lang w:val="en-US" w:eastAsia="zh-CN" w:bidi="ar-SA"/>
        </w:rPr>
        <w:t>无政府性基金预算</w:t>
      </w:r>
    </w:p>
    <w:p>
      <w:pPr>
        <w:keepNext w:val="0"/>
        <w:keepLines w:val="0"/>
        <w:pageBreakBefore w:val="0"/>
        <w:widowControl/>
        <w:numPr>
          <w:ilvl w:val="0"/>
          <w:numId w:val="2"/>
        </w:numPr>
        <w:kinsoku/>
        <w:wordWrap/>
        <w:overflowPunct/>
        <w:topLinePunct w:val="0"/>
        <w:autoSpaceDE/>
        <w:autoSpaceDN/>
        <w:bidi w:val="0"/>
        <w:adjustRightInd/>
        <w:spacing w:line="600" w:lineRule="exact"/>
        <w:ind w:firstLine="645"/>
        <w:jc w:val="left"/>
        <w:textAlignment w:val="auto"/>
        <w:rPr>
          <w:rFonts w:hint="eastAsia" w:eastAsia="黑体"/>
          <w:sz w:val="32"/>
          <w:szCs w:val="32"/>
        </w:rPr>
      </w:pPr>
      <w:r>
        <w:rPr>
          <w:rFonts w:hint="eastAsia" w:eastAsia="黑体"/>
          <w:sz w:val="32"/>
          <w:szCs w:val="32"/>
        </w:rPr>
        <w:t>国有资本经营预算支出情况</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Calibri" w:hAnsi="Calibri" w:eastAsia="仿宋_GB2312" w:cs="Times New Roman"/>
          <w:color w:val="auto"/>
          <w:kern w:val="2"/>
          <w:sz w:val="32"/>
          <w:szCs w:val="32"/>
          <w:lang w:val="en-US" w:eastAsia="zh-CN" w:bidi="ar-SA"/>
        </w:rPr>
        <w:t>无国有资本经营预算</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6" w:firstLineChars="0"/>
        <w:jc w:val="left"/>
        <w:textAlignment w:val="auto"/>
        <w:rPr>
          <w:rFonts w:hint="eastAsia" w:eastAsia="黑体"/>
          <w:sz w:val="32"/>
          <w:szCs w:val="32"/>
        </w:rPr>
      </w:pPr>
      <w:r>
        <w:rPr>
          <w:rFonts w:hint="eastAsia" w:eastAsia="黑体"/>
          <w:sz w:val="32"/>
          <w:szCs w:val="32"/>
        </w:rPr>
        <w:t>社会保险基金预算支出情况</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645" w:leftChars="0"/>
        <w:textAlignment w:val="auto"/>
        <w:rPr>
          <w:rFonts w:hint="eastAsia"/>
        </w:rPr>
      </w:pPr>
      <w:r>
        <w:rPr>
          <w:rFonts w:hint="eastAsia" w:ascii="Calibri" w:hAnsi="Calibri" w:eastAsia="仿宋_GB2312" w:cs="Times New Roman"/>
          <w:color w:val="auto"/>
          <w:kern w:val="2"/>
          <w:sz w:val="32"/>
          <w:szCs w:val="32"/>
          <w:lang w:val="en-US" w:eastAsia="zh-CN" w:bidi="ar-SA"/>
        </w:rPr>
        <w:t>无社会保险基金预算</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eastAsia="黑体"/>
          <w:sz w:val="32"/>
          <w:szCs w:val="32"/>
        </w:rPr>
      </w:pPr>
      <w:r>
        <w:rPr>
          <w:rFonts w:hint="eastAsia" w:eastAsia="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eastAsia"/>
        </w:rPr>
      </w:pPr>
      <w:r>
        <w:rPr>
          <w:rFonts w:hint="eastAsia" w:ascii="楷体" w:hAnsi="楷体" w:eastAsia="楷体" w:cs="楷体"/>
          <w:b/>
          <w:bCs/>
          <w:sz w:val="32"/>
          <w:szCs w:val="32"/>
        </w:rPr>
        <w:t>综合评价结论</w:t>
      </w:r>
      <w:r>
        <w:rPr>
          <w:rFonts w:hint="eastAsia" w:ascii="楷体" w:hAnsi="楷体" w:eastAsia="楷体" w:cs="楷体"/>
          <w:b/>
          <w:bCs/>
          <w:sz w:val="32"/>
          <w:szCs w:val="32"/>
          <w:lang w:eastAsia="zh-CN"/>
        </w:rPr>
        <w:t>：</w:t>
      </w:r>
      <w:r>
        <w:rPr>
          <w:rFonts w:hint="eastAsia" w:ascii="Calibri" w:hAnsi="Calibri" w:eastAsia="仿宋_GB2312" w:cs="Times New Roman"/>
          <w:bCs/>
          <w:color w:val="auto"/>
          <w:kern w:val="2"/>
          <w:sz w:val="32"/>
          <w:szCs w:val="32"/>
          <w:lang w:val="en-US" w:eastAsia="zh-CN" w:bidi="ar-SA"/>
        </w:rPr>
        <w:t>根据《邵阳县财政局关于开展2023年度部门整体支出绩效自评和项目支出绩效自评工作的通知》（邵财绩[2024]4号），邵阳县白仓镇人民政府成立了绩效评价工作领导小组，负责绩效评价工作的组织领导和具体实施。评价小组采取座谈等方式听取情况，检查基本支出有关账目，收集整理支出相关资料，并根据各部门报送的绩效自评材料进行分析，形成评价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年度部门整体支出绩效自评</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alibri" w:hAnsi="Calibri" w:eastAsia="黑体" w:cs="Times New Roman"/>
          <w:kern w:val="2"/>
          <w:sz w:val="32"/>
          <w:szCs w:val="32"/>
          <w:lang w:val="en-US" w:eastAsia="zh-CN" w:bidi="ar-SA"/>
        </w:rPr>
      </w:pPr>
      <w:r>
        <w:rPr>
          <w:rFonts w:hint="eastAsia" w:ascii="Calibri" w:hAnsi="Calibri" w:eastAsia="黑体" w:cs="Times New Roman"/>
          <w:kern w:val="2"/>
          <w:sz w:val="32"/>
          <w:szCs w:val="32"/>
          <w:lang w:val="en-US" w:eastAsia="zh-CN" w:bidi="ar-SA"/>
        </w:rPr>
        <w:t>七</w:t>
      </w:r>
      <w:r>
        <w:rPr>
          <w:rFonts w:hint="eastAsia" w:eastAsia="黑体" w:cs="Times New Roman"/>
          <w:kern w:val="2"/>
          <w:sz w:val="32"/>
          <w:szCs w:val="32"/>
          <w:lang w:val="en-US" w:eastAsia="zh-CN" w:bidi="ar-SA"/>
        </w:rPr>
        <w:t>、</w:t>
      </w:r>
      <w:r>
        <w:rPr>
          <w:rFonts w:hint="eastAsia" w:ascii="Calibri" w:hAnsi="Calibri" w:eastAsia="黑体" w:cs="Times New Roman"/>
          <w:kern w:val="2"/>
          <w:sz w:val="32"/>
          <w:szCs w:val="32"/>
          <w:lang w:val="en-US" w:eastAsia="zh-CN" w:bidi="ar-SA"/>
        </w:rPr>
        <w:t>评价指标分析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（一）财政管理方面</w:t>
      </w:r>
    </w:p>
    <w:p>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bookmarkStart w:id="0" w:name="_Toc7120"/>
      <w:bookmarkStart w:id="1" w:name="_Toc507"/>
      <w:r>
        <w:rPr>
          <w:rFonts w:hint="default" w:ascii="仿宋_GB2312" w:hAnsi="仿宋_GB2312" w:eastAsia="仿宋_GB2312" w:cs="仿宋_GB2312"/>
          <w:b/>
          <w:bCs/>
          <w:sz w:val="32"/>
          <w:szCs w:val="32"/>
          <w:lang w:val="en-US" w:eastAsia="zh-CN"/>
        </w:rPr>
        <w:t>1.</w:t>
      </w:r>
      <w:bookmarkEnd w:id="0"/>
      <w:bookmarkEnd w:id="1"/>
      <w:r>
        <w:rPr>
          <w:rFonts w:hint="default" w:ascii="仿宋_GB2312" w:hAnsi="仿宋_GB2312" w:eastAsia="仿宋_GB2312" w:cs="仿宋_GB2312"/>
          <w:b/>
          <w:bCs/>
          <w:sz w:val="32"/>
          <w:szCs w:val="32"/>
          <w:lang w:val="en-US" w:eastAsia="zh-CN"/>
        </w:rPr>
        <w:t>预算管理情况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w:t>
      </w:r>
      <w:r>
        <w:rPr>
          <w:rFonts w:hint="default" w:ascii="仿宋_GB2312" w:hAnsi="仿宋_GB2312" w:eastAsia="仿宋_GB2312" w:cs="仿宋_GB2312"/>
          <w:sz w:val="32"/>
          <w:szCs w:val="32"/>
          <w:lang w:val="en-US" w:eastAsia="zh-CN"/>
        </w:rPr>
        <w:t>镇严格预算编制程序，按照预算执行情况编制决算；优先保障“三保”支出；基本支出实行定员定额管理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本乡镇</w:t>
      </w:r>
      <w:r>
        <w:rPr>
          <w:rFonts w:hint="default" w:ascii="仿宋_GB2312" w:hAnsi="仿宋_GB2312" w:eastAsia="仿宋_GB2312" w:cs="仿宋_GB2312"/>
          <w:sz w:val="32"/>
          <w:szCs w:val="32"/>
          <w:lang w:val="en-US" w:eastAsia="zh-CN"/>
        </w:rPr>
        <w:t>严格按人大批复执行预算；预算调整依据充分、程序规范；季度预算执行情况分析、全年预算收支执行情况分析及时。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本乡镇</w:t>
      </w:r>
      <w:r>
        <w:rPr>
          <w:rFonts w:hint="default" w:ascii="仿宋_GB2312" w:hAnsi="仿宋_GB2312" w:eastAsia="仿宋_GB2312" w:cs="仿宋_GB2312"/>
          <w:sz w:val="32"/>
          <w:szCs w:val="32"/>
          <w:lang w:val="en-US" w:eastAsia="zh-CN"/>
        </w:rPr>
        <w:t>按要求申报了整体支出绩效目标；按要求及时组织开展整体支出绩效自评，</w:t>
      </w:r>
      <w:r>
        <w:rPr>
          <w:rFonts w:hint="eastAsia" w:ascii="仿宋_GB2312" w:hAnsi="仿宋_GB2312" w:eastAsia="仿宋_GB2312" w:cs="仿宋_GB2312"/>
          <w:sz w:val="32"/>
          <w:szCs w:val="32"/>
          <w:lang w:val="en-US" w:eastAsia="zh-CN"/>
        </w:rPr>
        <w:t>本乡镇</w:t>
      </w:r>
      <w:r>
        <w:rPr>
          <w:rFonts w:hint="default" w:ascii="仿宋_GB2312" w:hAnsi="仿宋_GB2312" w:eastAsia="仿宋_GB2312" w:cs="仿宋_GB2312"/>
          <w:sz w:val="32"/>
          <w:szCs w:val="32"/>
          <w:lang w:val="en-US" w:eastAsia="zh-CN"/>
        </w:rPr>
        <w:t>建立了预算管理基础信息数据台账；预决算信息已按要求在政府门户网站或财政部门预决算公开统一平台集中公开</w:t>
      </w:r>
      <w:r>
        <w:rPr>
          <w:rFonts w:hint="eastAsia" w:ascii="仿宋_GB2312" w:hAnsi="仿宋_GB2312" w:eastAsia="仿宋_GB2312" w:cs="仿宋_GB2312"/>
          <w:sz w:val="32"/>
          <w:szCs w:val="32"/>
          <w:lang w:val="en-US" w:eastAsia="zh-CN"/>
        </w:rPr>
        <w:t>。</w:t>
      </w:r>
    </w:p>
    <w:p>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2.财务管理情况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w:t>
      </w:r>
      <w:r>
        <w:rPr>
          <w:rFonts w:hint="default" w:ascii="仿宋_GB2312" w:hAnsi="仿宋_GB2312" w:eastAsia="仿宋_GB2312" w:cs="仿宋_GB2312"/>
          <w:sz w:val="32"/>
          <w:szCs w:val="32"/>
          <w:lang w:val="en-US" w:eastAsia="zh-CN"/>
        </w:rPr>
        <w:t>镇按照会计制度有关要求设立账套，代管村级账务核算清晰，对账工作及时，会计资料归档及时、管理较完善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w:t>
      </w:r>
      <w:r>
        <w:rPr>
          <w:rFonts w:hint="default" w:ascii="仿宋_GB2312" w:hAnsi="仿宋_GB2312" w:eastAsia="仿宋_GB2312" w:cs="仿宋_GB2312"/>
          <w:sz w:val="32"/>
          <w:szCs w:val="32"/>
          <w:lang w:val="en-US" w:eastAsia="zh-CN"/>
        </w:rPr>
        <w:t>镇制定了政府采购限额等制度；政府采购项目档案资料齐全</w:t>
      </w:r>
      <w:r>
        <w:rPr>
          <w:rFonts w:hint="eastAsia" w:ascii="仿宋_GB2312" w:hAnsi="仿宋_GB2312" w:eastAsia="仿宋_GB2312" w:cs="仿宋_GB2312"/>
          <w:sz w:val="32"/>
          <w:szCs w:val="32"/>
          <w:lang w:val="en-US" w:eastAsia="zh-CN"/>
        </w:rPr>
        <w:t>。</w:t>
      </w:r>
    </w:p>
    <w:p>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3.资金监管情况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本乡镇</w:t>
      </w:r>
      <w:r>
        <w:rPr>
          <w:rFonts w:hint="default" w:ascii="仿宋_GB2312" w:hAnsi="仿宋_GB2312" w:eastAsia="仿宋_GB2312" w:cs="仿宋_GB2312"/>
          <w:sz w:val="32"/>
          <w:szCs w:val="32"/>
          <w:lang w:val="en-US" w:eastAsia="zh-CN"/>
        </w:rPr>
        <w:t>按照财政部门账户管理要求开设有关账户；银行账户支付印鉴实行分人分印管理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支付审批程序完整。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本乡</w:t>
      </w:r>
      <w:r>
        <w:rPr>
          <w:rFonts w:hint="default" w:ascii="仿宋_GB2312" w:hAnsi="仿宋_GB2312" w:eastAsia="仿宋_GB2312" w:cs="仿宋_GB2312"/>
          <w:sz w:val="32"/>
          <w:szCs w:val="32"/>
          <w:lang w:val="en-US" w:eastAsia="zh-CN"/>
        </w:rPr>
        <w:t>镇列入乡镇财政预算的项目，申报立项、公示、实施、验收、资金拨付等环节监督健全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上级有关部门安排并由乡镇代管的项目，根据委托要求参与监督并反馈资金使用和项目建设情况</w:t>
      </w:r>
      <w:r>
        <w:rPr>
          <w:rFonts w:hint="eastAsia" w:ascii="仿宋_GB2312" w:hAnsi="仿宋_GB2312" w:eastAsia="仿宋_GB2312" w:cs="仿宋_GB2312"/>
          <w:sz w:val="32"/>
          <w:szCs w:val="32"/>
          <w:lang w:val="en-US" w:eastAsia="zh-CN"/>
        </w:rPr>
        <w:t>。</w:t>
      </w:r>
    </w:p>
    <w:p>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4.组织管理情况</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制度建设</w:t>
      </w:r>
      <w:r>
        <w:rPr>
          <w:rFonts w:hint="eastAsia" w:ascii="仿宋_GB2312" w:hAnsi="仿宋_GB2312" w:eastAsia="仿宋_GB2312" w:cs="仿宋_GB2312"/>
          <w:b/>
          <w:bCs/>
          <w:sz w:val="32"/>
          <w:szCs w:val="32"/>
          <w:lang w:val="en-US" w:eastAsia="zh-CN"/>
        </w:rPr>
        <w:t>方面：</w:t>
      </w:r>
      <w:r>
        <w:rPr>
          <w:rFonts w:hint="default" w:ascii="仿宋_GB2312" w:hAnsi="仿宋_GB2312" w:eastAsia="仿宋_GB2312" w:cs="仿宋_GB2312"/>
          <w:sz w:val="32"/>
          <w:szCs w:val="32"/>
          <w:lang w:val="en-US" w:eastAsia="zh-CN"/>
        </w:rPr>
        <w:t>白仓镇建立乡镇财政财务管理制度，主要包括财务管理、建设项目管理办法、经费支出管理办法、收入管理暂行办法、收入支出管理制度、现金管理规定、预算管理办法、政府采购管理实施办法、资产管理办法；内控机制健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业务流程管理</w:t>
      </w:r>
      <w:r>
        <w:rPr>
          <w:rFonts w:hint="eastAsia" w:ascii="仿宋_GB2312" w:hAnsi="仿宋_GB2312" w:eastAsia="仿宋_GB2312" w:cs="仿宋_GB2312"/>
          <w:b/>
          <w:bCs/>
          <w:sz w:val="32"/>
          <w:szCs w:val="32"/>
          <w:lang w:val="en-US" w:eastAsia="zh-CN"/>
        </w:rPr>
        <w:t>方面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白仓镇建立健全乡财县管、预决算编制、资金监管、惠民惠农财政补贴资金“一卡通”发放管理等业务操作流程。</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岗位设置情况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白仓镇合理设置岗位；遵循不相容岗位相分离原则；明确岗位职责。</w:t>
      </w:r>
    </w:p>
    <w:p>
      <w:pPr>
        <w:pageBreakBefore w:val="0"/>
        <w:widowControl/>
        <w:kinsoku/>
        <w:wordWrap/>
        <w:overflowPunct/>
        <w:topLinePunct w:val="0"/>
        <w:autoSpaceDE/>
        <w:autoSpaceDN/>
        <w:bidi w:val="0"/>
        <w:adjustRightInd/>
        <w:snapToGrid w:val="0"/>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5.资产管理情况</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白仓镇资产处置方式、程序合规；产权变更及时程序完整；使用账务资产模块，及时准确反映资产增减变动情况和收入处置情况。</w:t>
      </w:r>
    </w:p>
    <w:p>
      <w:pPr>
        <w:bidi w:val="0"/>
        <w:ind w:left="0" w:leftChars="0" w:firstLine="643" w:firstLineChars="200"/>
        <w:rPr>
          <w:rFonts w:hint="default" w:ascii="Times New Roman" w:hAnsi="Times New Roman" w:eastAsia="仿宋_GB2312" w:cs="Times New Roman"/>
          <w:b/>
          <w:bCs w:val="0"/>
          <w:kern w:val="2"/>
          <w:sz w:val="32"/>
          <w:szCs w:val="32"/>
          <w:lang w:val="en-US" w:eastAsia="zh-CN" w:bidi="ar-SA"/>
        </w:rPr>
      </w:pPr>
      <w:r>
        <w:rPr>
          <w:rFonts w:hint="default" w:ascii="楷体" w:hAnsi="楷体" w:eastAsia="楷体" w:cs="楷体"/>
          <w:b/>
          <w:bCs/>
          <w:sz w:val="32"/>
          <w:szCs w:val="32"/>
          <w:lang w:val="en-US" w:eastAsia="zh-CN"/>
        </w:rPr>
        <w:t>（二）财政收入运行方面</w:t>
      </w:r>
    </w:p>
    <w:p>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1.收入计划完成情况</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白仓镇2023年计划财政收入3824.63万元，实际完成财政收入3824.63万元，收入完成率100%。均为一般公共预算收入。</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白仓镇2023年计划税收收入800万元，实际完成税收收入823.23万元，税收收入完成率102.9%。</w:t>
      </w:r>
    </w:p>
    <w:p>
      <w:pPr>
        <w:pStyle w:val="2"/>
        <w:rPr>
          <w:rFonts w:hint="default" w:ascii="Times New Roman" w:hAnsi="Times New Roman" w:cs="Times New Roman"/>
          <w:lang w:val="en-US" w:eastAsia="zh-CN"/>
        </w:rPr>
      </w:pPr>
      <w:r>
        <w:rPr>
          <w:rFonts w:hint="default" w:ascii="Times New Roman" w:hAnsi="Times New Roman" w:cs="Times New Roman"/>
          <w:b/>
          <w:bCs w:val="0"/>
          <w:lang w:val="en-US" w:eastAsia="zh-CN"/>
        </w:rPr>
        <w:t>2.收入运行质量</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白仓镇2023年下达目标收入5162.69万元，实际财政收入3824.63万元，2022年下达目标收入4864.88万元，实际财政收入3796.41万元，2023年实际财政收入增长0.74%。</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白仓镇2023年年初预算财政收入2604.41万元，年中追加1220.22万元，年终决算3824.63万元。其中上级拨款3701.83万元，非税收益返还122.8万元。</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从税收收入情况来看，2023年税收收入计划任务比上年增加100万元，完成率102.9%，实际完成情况较上年增长16.93%。</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非税收入情况来看，2023年非税收入任务比上年增加20万元，完成率136.88%，实际完成情况较上年增长46.44%。2023年非税收入主要是交通罚没收入1.8万元、其他一般罚没收入299.35万元。主要是耕地开垦、农林业擅自改变用途、交通运输超载超重等。从长远来看，非税罚没对以后的工作敲响了警钟，对规范交通秩序，规范占地用地等方面起了很好的借鉴作用。</w:t>
      </w:r>
    </w:p>
    <w:p>
      <w:pPr>
        <w:pStyle w:val="2"/>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（三）财政支出运行方面</w:t>
      </w:r>
    </w:p>
    <w:p>
      <w:pPr>
        <w:pStyle w:val="2"/>
        <w:rPr>
          <w:rFonts w:hint="default" w:ascii="Times New Roman" w:hAnsi="Times New Roman" w:cs="Times New Roman"/>
          <w:b/>
          <w:bCs w:val="0"/>
          <w:lang w:val="en-US" w:eastAsia="zh-CN"/>
        </w:rPr>
      </w:pPr>
      <w:r>
        <w:rPr>
          <w:rFonts w:hint="default" w:ascii="Times New Roman" w:hAnsi="Times New Roman" w:eastAsia="仿宋_GB2312" w:cs="Times New Roman"/>
          <w:b/>
          <w:bCs w:val="0"/>
          <w:snapToGrid w:val="0"/>
          <w:color w:val="000000"/>
          <w:kern w:val="0"/>
          <w:sz w:val="32"/>
          <w:szCs w:val="32"/>
          <w:lang w:val="en-US" w:eastAsia="zh-CN"/>
        </w:rPr>
        <w:t>1.支出预算执行情况</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白仓镇2023年支出预算3824.63万元，决算3824.63万元，执行率100%。</w:t>
      </w:r>
    </w:p>
    <w:p>
      <w:pPr>
        <w:pStyle w:val="2"/>
        <w:rPr>
          <w:rFonts w:hint="default" w:ascii="Times New Roman" w:hAnsi="Times New Roman" w:cs="Times New Roman"/>
          <w:b/>
          <w:bCs/>
          <w:lang w:val="en-US" w:eastAsia="zh-CN"/>
        </w:rPr>
      </w:pPr>
      <w:r>
        <w:rPr>
          <w:rFonts w:hint="default" w:ascii="Times New Roman" w:hAnsi="Times New Roman" w:cs="Times New Roman"/>
          <w:b/>
          <w:bCs/>
          <w:szCs w:val="32"/>
          <w:highlight w:val="none"/>
          <w:lang w:val="en-US" w:eastAsia="zh-CN"/>
        </w:rPr>
        <w:t>2.支出结构合理性</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白仓镇2023年“三保”支出额2850.51万元，一般公共预算支出3824.63万元，“三保”支出占比74.53%。由于2022年“三保”支出无指标，无法核算出增长率。</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白仓镇2023年“三保”支出应保2855.08万元，已保2850.51万元，应保尽保率99.84%。</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白仓镇2023年“七项”经费136.46万元，2022年“七项”经费146.08万元，2023年降低9.62万元，“七项”经费控制率-6.59%。</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非税收入额301.15万元，非税收入征收成本122.8万元（按收入任务的30%拨付，超计划部分按收入70%拨付）；2022年非税收入额205.64万元，非税收入征收成本124.51万元（按收入任务的60%拨付，超计划20%内按超额部分80%拨付）。2023年非税收入较上年增长46.44%，征收成本占比下降32.65%。非税收入征收成本由县级财政确定，每年按定额比例返还。</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非税执收成本122.8万元，较</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年124.51减少1.71万元下降1.37%，主要原因是县财政降低非税收入征收成本返回比例由60%调整为30%。</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“三公”经费情况：公务接待1.12万元较上年5.05万元减少3.93万元，下降77.79%。因公出国（境）费用0万元、公务用车运行维护费7.69万元较上年9.03万元减少1.34万元降低14.83%。“三公”经费控制较好。</w:t>
      </w:r>
    </w:p>
    <w:p>
      <w:pPr>
        <w:pStyle w:val="2"/>
        <w:rPr>
          <w:rFonts w:hint="default" w:ascii="Times New Roman" w:hAnsi="Times New Roman" w:cs="Times New Roman"/>
          <w:b/>
          <w:bCs w:val="0"/>
          <w:lang w:val="en-US" w:eastAsia="zh-CN"/>
        </w:rPr>
      </w:pPr>
      <w:r>
        <w:rPr>
          <w:rFonts w:hint="default" w:ascii="Times New Roman" w:hAnsi="Times New Roman" w:eastAsia="仿宋_GB2312" w:cs="Times New Roman"/>
          <w:b/>
          <w:bCs w:val="0"/>
          <w:snapToGrid w:val="0"/>
          <w:color w:val="000000"/>
          <w:kern w:val="0"/>
          <w:sz w:val="32"/>
          <w:szCs w:val="32"/>
          <w:lang w:val="en-US" w:eastAsia="zh-CN"/>
        </w:rPr>
        <w:t>3.财政供养人员规模</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白仓镇2023年常住人口55407人，财政供养人员在职168人，退休69人，财政供养比230。</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白仓镇2023年编外人员1人，事业编制人员104人，公务员编制人员60人，差额拨款4人，编外人员控制率3.05%，控制在目标值5%内。</w:t>
      </w:r>
    </w:p>
    <w:p>
      <w:pPr>
        <w:pStyle w:val="2"/>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（四）财政运行成效方面</w:t>
      </w:r>
    </w:p>
    <w:p>
      <w:pPr>
        <w:pStyle w:val="2"/>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1.经济发展支撑</w:t>
      </w:r>
    </w:p>
    <w:p>
      <w:pPr>
        <w:bidi w:val="0"/>
        <w:ind w:left="0" w:leftChars="0" w:firstLine="643" w:firstLineChars="200"/>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（1）经济总量增长情况</w:t>
      </w:r>
      <w:r>
        <w:rPr>
          <w:rFonts w:hint="eastAsia" w:ascii="Times New Roman" w:hAnsi="Times New Roman" w:eastAsia="仿宋_GB2312" w:cs="Times New Roman"/>
          <w:b/>
          <w:bCs/>
          <w:kern w:val="2"/>
          <w:sz w:val="32"/>
          <w:szCs w:val="32"/>
          <w:highlight w:val="none"/>
          <w:lang w:val="en-US" w:eastAsia="zh-CN" w:bidi="ar-SA"/>
        </w:rPr>
        <w:t>。</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白仓镇2022年生产总值203893万元，2022年增长4.62%，较全县平均增速4.56%多增长0.06%。</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2022年全社会消费品零售额总额27415万元，2023年28932.4万元，增速5.53%。</w:t>
      </w:r>
    </w:p>
    <w:p>
      <w:pPr>
        <w:pStyle w:val="2"/>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（2）特色产业发展</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完成优质稻种植1.51万亩，香葱种植5000亩，香菇种植300余亩，三门疏果种植1000余亩，新造油茶林1.1万亩，种植烟叶4720亩，产烟10510担。双季稻种植主要分部在何伏村、黄连村、鸟语村；油茶林在新建村、胜利村、大水村；烟叶种植在三堆村、观竹村、井阳村等。</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油茶基地由盛和农林、浩达农业2个公司和融程伟业、恒益、淇殷、顺丰、长康、石梅6个油茶专业合作社共同创建，采用“公司(合作社)+基地+农户”的经营模式，土地经营期为30年，栽植“湘林”、“三华”系列油茶新品种，投产后公司(合作社)与农户按6:4的比例进行收益分成。该基地2021年投产面积8100亩。预计全面进入盛产期后，年亩产茶油50公斤以上，按160元/公斤的价格计算，基地可实现年创收9300万元以上。</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烤烟生产是邵阳县四大支柱产业之一，更是白仓镇的主要经济作物，白仓镇每年完成烤烟种植面积近4000亩，交售烟叶近1万担，有效帮助村民增收致富。其中以三堆村为主的烤烟村每年种植烤烟400多亩，交售烟叶1200担，可以为烟农创收近200万元，位于三堆村的烤烟育苗大棚每年可以为1400亩烟田育苗，2023年三堆村新修了50座烤烟房，再次为烟叶生产提质增量。</w:t>
      </w:r>
    </w:p>
    <w:p>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（3）城乡统筹发展</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支付美丽庭院建设款180万元，建设位于白仓镇沿线大道项目以及石脚村、夏亮村，石脚村经过完善沥青道路、文化广场等基础设施建设，巩固提升乡风文明，升级建成县级“美丽庭院”。通过镇村两级密切配合、大力推动，2023年共拆除空心房167座。渠道、机耕道，排水灌溉等配套基础设施基本全面完成。全镇共建设农家书屋33个，文化广场33个，成立乐器队14个，广场舞队35个，通过建设文化场地、成立民间文化组织，进一步丰富农民业余生活。</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2023年固定资产投资53071.24万元，2022年42187万元，固定资产投资增速25.8%。</w:t>
      </w:r>
    </w:p>
    <w:p>
      <w:pPr>
        <w:pStyle w:val="2"/>
        <w:rPr>
          <w:rFonts w:hint="default"/>
          <w:b/>
          <w:bCs w:val="0"/>
          <w:lang w:val="en-US" w:eastAsia="zh-CN"/>
        </w:rPr>
      </w:pPr>
      <w:r>
        <w:rPr>
          <w:rFonts w:hint="eastAsia"/>
          <w:b/>
          <w:bCs w:val="0"/>
          <w:lang w:val="en-US" w:eastAsia="zh-CN"/>
        </w:rPr>
        <w:t>（4）财源建设</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白仓镇利用优越的地理位置和便利的交通条件，引进了如新顺饰品厂、云集饰品加工厂、湖南易老头食品有限公司等多家以饰品加工或农产品加工为主营业务的企业，其中湖南易老头食品有限公司，作为一家总投资约1200万元，年产值近6000万的</w:t>
      </w:r>
      <w:r>
        <w:rPr>
          <w:rFonts w:hint="eastAsia" w:ascii="仿宋_GB2312" w:hAnsi="仿宋_GB2312" w:eastAsia="仿宋_GB2312" w:cs="仿宋_GB2312"/>
          <w:kern w:val="2"/>
          <w:sz w:val="32"/>
          <w:szCs w:val="32"/>
          <w:lang w:val="en-US" w:eastAsia="zh-CN" w:bidi="ar-SA"/>
        </w:rPr>
        <w:t>企业</w:t>
      </w:r>
      <w:r>
        <w:rPr>
          <w:rFonts w:hint="default" w:ascii="仿宋_GB2312" w:hAnsi="仿宋_GB2312" w:eastAsia="仿宋_GB2312" w:cs="仿宋_GB2312"/>
          <w:kern w:val="2"/>
          <w:sz w:val="32"/>
          <w:szCs w:val="32"/>
          <w:lang w:val="en-US" w:eastAsia="zh-CN" w:bidi="ar-SA"/>
        </w:rPr>
        <w:t>，在镇政府的帮助下仅一个月就选址成功，并在政府主动服务下快速办好建厂手续。</w:t>
      </w:r>
    </w:p>
    <w:p>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2.社会民生保障</w:t>
      </w:r>
    </w:p>
    <w:p>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（1）社保医保覆盖率</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白仓镇2023年社保参保人数18050人，覆盖率32.58%，医保参保人数64786人，覆盖率116.93%；2022年社保参保人数18050人，覆盖率31.9%，医保参保人数64786人，覆盖率114.51%；2023年社保增长率0.68%，医保增长率2.42%。</w:t>
      </w:r>
    </w:p>
    <w:p>
      <w:pPr>
        <w:pStyle w:val="2"/>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（2）惠民惠农补助应保尽保率</w:t>
      </w:r>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2022年惠民惠农应保56578人，已保46394人，应保尽保率82%；2023年应保55407人，已保48091人，应保尽保率87%。落实“雨露计划”春季369人，秋季385人，义务教育补助1477人，“送教上门”22人，春季学前教育补助221人；监测户和脱贫户劳动力人数5068人，其中长期务工4499人，公益岗位265个，其中护林员98人，保洁员162人，光伏电站管理员5人。全镇脱贫户、监测户均完成家庭医生签约，其中四类慢性病签约5364人，完成率100%。低保补助2645人，特困补助581人，残疾生活补贴1106人，护理补贴1462人等。</w:t>
      </w:r>
    </w:p>
    <w:p>
      <w:pPr>
        <w:bidi w:val="0"/>
        <w:ind w:left="0" w:leftChars="0" w:firstLine="643" w:firstLineChars="200"/>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（3）农村人居环境治理保障</w:t>
      </w:r>
    </w:p>
    <w:p>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仓镇环境卫生整治实行月检查排名、讲评通报、落实奖罚制度，人居环境卫生工作实行村民缴费制度，围绕“门前三包”开展“最清洁院落”、“最不清洁院落”、“最清洁农户”、“最不清洁农户”评比活动。坚持开展“周五大清扫”等活动，全镇人居环境卫生水平逐年稳步提升。通过380份有效问卷调查显示，镇饮水、河流水质满意度达90.47%。</w:t>
      </w:r>
    </w:p>
    <w:p>
      <w:pPr>
        <w:widowControl/>
        <w:spacing w:line="600" w:lineRule="exact"/>
        <w:ind w:firstLine="645"/>
        <w:jc w:val="left"/>
        <w:rPr>
          <w:rFonts w:hint="eastAsia" w:eastAsia="黑体"/>
          <w:sz w:val="32"/>
          <w:szCs w:val="32"/>
        </w:rPr>
      </w:pPr>
      <w:bookmarkStart w:id="5" w:name="_GoBack"/>
      <w:bookmarkEnd w:id="5"/>
      <w:r>
        <w:rPr>
          <w:rFonts w:hint="eastAsia" w:eastAsia="黑体"/>
          <w:sz w:val="32"/>
          <w:szCs w:val="32"/>
        </w:rPr>
        <w:t>七、存在的问题及原因分析</w:t>
      </w:r>
    </w:p>
    <w:p>
      <w:pPr>
        <w:pStyle w:val="4"/>
        <w:pageBreakBefore w:val="0"/>
        <w:kinsoku/>
        <w:wordWrap/>
        <w:overflowPunct/>
        <w:topLinePunct w:val="0"/>
        <w:autoSpaceDE/>
        <w:autoSpaceDN/>
        <w:bidi w:val="0"/>
        <w:adjustRightInd/>
        <w:spacing w:before="0" w:after="0" w:line="600" w:lineRule="exact"/>
        <w:ind w:firstLine="472" w:firstLineChars="147"/>
        <w:textAlignment w:val="auto"/>
        <w:rPr>
          <w:rFonts w:hint="eastAsia" w:ascii="楷体_GB2312" w:hAnsi="楷体_GB2312" w:eastAsia="楷体_GB2312" w:cs="楷体_GB2312"/>
          <w:b/>
          <w:bCs/>
          <w:sz w:val="32"/>
          <w:szCs w:val="32"/>
        </w:rPr>
      </w:pPr>
      <w:bookmarkStart w:id="2"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2"/>
    </w:p>
    <w:p>
      <w:pPr>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bookmarkStart w:id="3" w:name="_Toc390113230"/>
    </w:p>
    <w:p>
      <w:pPr>
        <w:pageBreakBefore w:val="0"/>
        <w:widowControl/>
        <w:numPr>
          <w:ilvl w:val="0"/>
          <w:numId w:val="3"/>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管理制度欠完善</w:t>
      </w:r>
      <w:bookmarkEnd w:id="3"/>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邵阳县白仓镇规章</w:t>
      </w:r>
      <w:r>
        <w:rPr>
          <w:rFonts w:hint="eastAsia" w:ascii="仿宋_GB2312" w:hAnsi="仿宋_GB2312" w:eastAsia="仿宋_GB2312" w:cs="仿宋_GB2312"/>
          <w:sz w:val="32"/>
          <w:szCs w:val="32"/>
        </w:rPr>
        <w:t>制度》，针对“三公”经费的管理按照县委办《关于进一步规范和加强机关事务接待工作的通知》执行，但在发票规范化报销流程和财务监督制度方面规定不够详细。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八、</w:t>
      </w:r>
      <w:r>
        <w:rPr>
          <w:rFonts w:hint="eastAsia" w:eastAsia="黑体"/>
          <w:sz w:val="32"/>
          <w:szCs w:val="32"/>
        </w:rPr>
        <w:t>下一步改进措施</w:t>
      </w:r>
    </w:p>
    <w:p>
      <w:pPr>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加强资产管理</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4" w:name="_Toc390113236"/>
    </w:p>
    <w:p>
      <w:pPr>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4"/>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eastAsia="黑体"/>
          <w:sz w:val="32"/>
          <w:szCs w:val="32"/>
        </w:rPr>
      </w:pPr>
      <w:r>
        <w:rPr>
          <w:rFonts w:hint="eastAsia" w:ascii="仿宋_GB2312" w:hAnsi="仿宋_GB2312" w:eastAsia="仿宋_GB2312" w:cs="仿宋_GB2312"/>
          <w:sz w:val="32"/>
          <w:szCs w:val="32"/>
        </w:rPr>
        <w:t>进一步贯彻落实中央“八项规定”和湖南省委“九条规定”，加强干部财政法规培训和指导，规划报销流程，完善票据资料，加强财务支出监督，规范支出标准与范围，做到合法合规，并严格执行。</w:t>
      </w: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、部门整体支出绩效评价基础数据表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9"/>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投入</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14</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目标</w:t>
            </w:r>
            <w:r>
              <w:rPr>
                <w:rStyle w:val="16"/>
                <w:rFonts w:eastAsia="宋体"/>
                <w:lang w:val="en-US" w:eastAsia="zh-CN" w:bidi="ar"/>
              </w:rPr>
              <w:br w:type="textWrapping"/>
            </w:r>
            <w:r>
              <w:rPr>
                <w:rStyle w:val="15"/>
                <w:lang w:val="en-US" w:eastAsia="zh-CN" w:bidi="ar"/>
              </w:rPr>
              <w:t>设定</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w:t>
            </w:r>
            <w:r>
              <w:rPr>
                <w:rStyle w:val="16"/>
                <w:rFonts w:eastAsia="宋体"/>
                <w:lang w:val="en-US" w:eastAsia="zh-CN" w:bidi="ar"/>
              </w:rPr>
              <w:br w:type="textWrapping"/>
            </w:r>
            <w:r>
              <w:rPr>
                <w:rStyle w:val="15"/>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①是否符合国家法律法规、国民经济和社会发展总体规划；</w:t>
            </w:r>
            <w:r>
              <w:rPr>
                <w:rStyle w:val="16"/>
                <w:rFonts w:eastAsia="宋体"/>
                <w:lang w:val="en-US" w:eastAsia="zh-CN" w:bidi="ar"/>
              </w:rPr>
              <w:br w:type="textWrapping"/>
            </w:r>
            <w:r>
              <w:rPr>
                <w:rStyle w:val="15"/>
                <w:lang w:val="en-US" w:eastAsia="zh-CN" w:bidi="ar"/>
              </w:rPr>
              <w:t>②是否符合部门</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方案确定的职责；</w:t>
            </w:r>
            <w:r>
              <w:rPr>
                <w:rStyle w:val="16"/>
                <w:rFonts w:eastAsia="宋体"/>
                <w:lang w:val="en-US" w:eastAsia="zh-CN" w:bidi="ar"/>
              </w:rPr>
              <w:br w:type="textWrapping"/>
            </w:r>
            <w:r>
              <w:rPr>
                <w:rStyle w:val="15"/>
                <w:lang w:val="en-US" w:eastAsia="zh-CN" w:bidi="ar"/>
              </w:rPr>
              <w:t>③是否符合部门制定的中长期实施规划。</w:t>
            </w:r>
            <w:r>
              <w:rPr>
                <w:rStyle w:val="16"/>
                <w:rFonts w:eastAsia="宋体"/>
                <w:lang w:val="en-US" w:eastAsia="zh-CN" w:bidi="ar"/>
              </w:rPr>
              <w:br w:type="textWrapping"/>
            </w:r>
            <w:r>
              <w:rPr>
                <w:rStyle w:val="15"/>
                <w:lang w:val="en-US" w:eastAsia="zh-CN" w:bidi="ar"/>
              </w:rPr>
              <w:t>以上各项每发现一起不符合要求扣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绩效指标</w:t>
            </w:r>
            <w:r>
              <w:rPr>
                <w:rStyle w:val="16"/>
                <w:rFonts w:eastAsia="宋体"/>
                <w:lang w:val="en-US" w:eastAsia="zh-CN" w:bidi="ar"/>
              </w:rPr>
              <w:br w:type="textWrapping"/>
            </w:r>
            <w:r>
              <w:rPr>
                <w:rStyle w:val="15"/>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①有目标，计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②目标明确，细化量化良好，个性指标中量化指标超过</w:t>
            </w:r>
            <w:r>
              <w:rPr>
                <w:rStyle w:val="16"/>
                <w:rFonts w:eastAsia="宋体"/>
                <w:lang w:val="en-US" w:eastAsia="zh-CN" w:bidi="ar"/>
              </w:rPr>
              <w:t>3</w:t>
            </w:r>
            <w:r>
              <w:rPr>
                <w:rStyle w:val="15"/>
                <w:lang w:val="en-US" w:eastAsia="zh-CN" w:bidi="ar"/>
              </w:rPr>
              <w:t>个，计</w:t>
            </w:r>
            <w:r>
              <w:rPr>
                <w:rStyle w:val="16"/>
                <w:rFonts w:eastAsia="宋体"/>
                <w:lang w:val="en-US" w:eastAsia="zh-CN" w:bidi="ar"/>
              </w:rPr>
              <w:t>1</w:t>
            </w:r>
            <w:r>
              <w:rPr>
                <w:rStyle w:val="15"/>
                <w:lang w:val="en-US" w:eastAsia="zh-CN" w:bidi="ar"/>
              </w:rPr>
              <w:t>分，量化指标为</w:t>
            </w:r>
            <w:r>
              <w:rPr>
                <w:rStyle w:val="16"/>
                <w:rFonts w:eastAsia="宋体"/>
                <w:lang w:val="en-US" w:eastAsia="zh-CN" w:bidi="ar"/>
              </w:rPr>
              <w:t>2</w:t>
            </w:r>
            <w:r>
              <w:rPr>
                <w:rStyle w:val="15"/>
                <w:lang w:val="en-US" w:eastAsia="zh-CN" w:bidi="ar"/>
              </w:rPr>
              <w:t>个，计</w:t>
            </w:r>
            <w:r>
              <w:rPr>
                <w:rStyle w:val="16"/>
                <w:rFonts w:eastAsia="宋体"/>
                <w:lang w:val="en-US" w:eastAsia="zh-CN" w:bidi="ar"/>
              </w:rPr>
              <w:t>0.5</w:t>
            </w:r>
            <w:r>
              <w:rPr>
                <w:rStyle w:val="15"/>
                <w:lang w:val="en-US" w:eastAsia="zh-CN" w:bidi="ar"/>
              </w:rPr>
              <w:t>分，</w:t>
            </w:r>
            <w:r>
              <w:rPr>
                <w:rStyle w:val="16"/>
                <w:rFonts w:eastAsia="宋体"/>
                <w:lang w:val="en-US" w:eastAsia="zh-CN" w:bidi="ar"/>
              </w:rPr>
              <w:t>2</w:t>
            </w:r>
            <w:r>
              <w:rPr>
                <w:rStyle w:val="15"/>
                <w:lang w:val="en-US" w:eastAsia="zh-CN" w:bidi="ar"/>
              </w:rPr>
              <w:t>个以下不得分；</w:t>
            </w:r>
            <w:r>
              <w:rPr>
                <w:rStyle w:val="16"/>
                <w:rFonts w:eastAsia="宋体"/>
                <w:lang w:val="en-US" w:eastAsia="zh-CN" w:bidi="ar"/>
              </w:rPr>
              <w:br w:type="textWrapping"/>
            </w:r>
            <w:r>
              <w:rPr>
                <w:rStyle w:val="15"/>
                <w:lang w:val="en-US" w:eastAsia="zh-CN" w:bidi="ar"/>
              </w:rPr>
              <w:t>③与年度任务数或计划数相对应，计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50%</w:t>
            </w:r>
            <w:r>
              <w:rPr>
                <w:rStyle w:val="15"/>
                <w:lang w:val="en-US" w:eastAsia="zh-CN" w:bidi="ar"/>
              </w:rPr>
              <w:t>计</w:t>
            </w:r>
            <w:r>
              <w:rPr>
                <w:rStyle w:val="16"/>
                <w:rFonts w:eastAsia="宋体"/>
                <w:lang w:val="en-US" w:eastAsia="zh-CN" w:bidi="ar"/>
              </w:rPr>
              <w:t>0.5</w:t>
            </w:r>
            <w:r>
              <w:rPr>
                <w:rStyle w:val="15"/>
                <w:lang w:val="en-US" w:eastAsia="zh-CN" w:bidi="ar"/>
              </w:rPr>
              <w:t>分，对应低于</w:t>
            </w:r>
            <w:r>
              <w:rPr>
                <w:rStyle w:val="16"/>
                <w:rFonts w:eastAsia="宋体"/>
                <w:lang w:val="en-US" w:eastAsia="zh-CN" w:bidi="ar"/>
              </w:rPr>
              <w:t>50%</w:t>
            </w:r>
            <w:r>
              <w:rPr>
                <w:rStyle w:val="15"/>
                <w:lang w:val="en-US" w:eastAsia="zh-CN" w:bidi="ar"/>
              </w:rPr>
              <w:t>不计分；</w:t>
            </w:r>
            <w:r>
              <w:rPr>
                <w:rStyle w:val="16"/>
                <w:rFonts w:eastAsia="宋体"/>
                <w:lang w:val="en-US" w:eastAsia="zh-CN" w:bidi="ar"/>
              </w:rPr>
              <w:br w:type="textWrapping"/>
            </w:r>
            <w:r>
              <w:rPr>
                <w:rStyle w:val="15"/>
                <w:lang w:val="en-US" w:eastAsia="zh-CN" w:bidi="ar"/>
              </w:rPr>
              <w:t>④目标与资金匹配良好，逻辑关系明确，计</w:t>
            </w:r>
            <w:r>
              <w:rPr>
                <w:rStyle w:val="16"/>
                <w:rFonts w:eastAsia="宋体"/>
                <w:lang w:val="en-US" w:eastAsia="zh-CN" w:bidi="ar"/>
              </w:rPr>
              <w:t>1</w:t>
            </w:r>
            <w:r>
              <w:rPr>
                <w:rStyle w:val="15"/>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配置</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人员</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w:t>
            </w:r>
            <w:r>
              <w:rPr>
                <w:rStyle w:val="15"/>
                <w:lang w:val="en-US" w:eastAsia="zh-CN" w:bidi="ar"/>
              </w:rPr>
              <w:t>（在职人员数</w:t>
            </w:r>
            <w:r>
              <w:rPr>
                <w:rStyle w:val="16"/>
                <w:rFonts w:eastAsia="宋体"/>
                <w:lang w:val="en-US" w:eastAsia="zh-CN" w:bidi="ar"/>
              </w:rPr>
              <w:t>/</w:t>
            </w:r>
            <w:r>
              <w:rPr>
                <w:rStyle w:val="15"/>
                <w:lang w:val="en-US" w:eastAsia="zh-CN" w:bidi="ar"/>
              </w:rPr>
              <w:t>编制数）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在职人员数：部门（单位）实际在职人数</w:t>
            </w:r>
            <w:r>
              <w:rPr>
                <w:rStyle w:val="16"/>
                <w:rFonts w:eastAsia="宋体"/>
                <w:lang w:val="en-US" w:eastAsia="zh-CN" w:bidi="ar"/>
              </w:rPr>
              <w:t>,</w:t>
            </w:r>
            <w:r>
              <w:rPr>
                <w:rStyle w:val="15"/>
                <w:lang w:val="en-US" w:eastAsia="zh-CN" w:bidi="ar"/>
              </w:rPr>
              <w:t>以财政部门确定的部门决算编制口径为准。</w:t>
            </w:r>
            <w:r>
              <w:rPr>
                <w:rStyle w:val="16"/>
                <w:rFonts w:eastAsia="宋体"/>
                <w:lang w:val="en-US" w:eastAsia="zh-CN" w:bidi="ar"/>
              </w:rPr>
              <w:br w:type="textWrapping"/>
            </w:r>
            <w:r>
              <w:rPr>
                <w:rStyle w:val="15"/>
                <w:lang w:val="en-US" w:eastAsia="zh-CN" w:bidi="ar"/>
              </w:rPr>
              <w:t>编制数：机构编制部门核定批复的部门（单位）人员编制数。</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1%</w:t>
            </w:r>
            <w:r>
              <w:rPr>
                <w:rStyle w:val="15"/>
                <w:lang w:val="en-US" w:eastAsia="zh-CN" w:bidi="ar"/>
              </w:rPr>
              <w:t>扣</w:t>
            </w:r>
            <w:r>
              <w:rPr>
                <w:rStyle w:val="16"/>
                <w:rFonts w:eastAsia="宋体"/>
                <w:lang w:val="en-US" w:eastAsia="zh-CN" w:bidi="ar"/>
              </w:rPr>
              <w:t>0.2</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预算数与上年度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变动率</w:t>
            </w:r>
            <w:r>
              <w:rPr>
                <w:rStyle w:val="16"/>
                <w:rFonts w:eastAsia="宋体"/>
                <w:lang w:val="en-US" w:eastAsia="zh-CN" w:bidi="ar"/>
              </w:rPr>
              <w:t>=[</w:t>
            </w:r>
            <w:r>
              <w:rPr>
                <w:rStyle w:val="15"/>
                <w:lang w:val="en-US" w:eastAsia="zh-CN" w:bidi="ar"/>
              </w:rPr>
              <w:t>（本年度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]×100%</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：年度预算安排的因公出国（境）费、公务车辆购置及运行费和公务招待费。</w:t>
            </w:r>
            <w:r>
              <w:rPr>
                <w:rStyle w:val="16"/>
                <w:rFonts w:eastAsia="宋体"/>
                <w:lang w:val="en-US" w:eastAsia="zh-CN" w:bidi="ar"/>
              </w:rPr>
              <w:br w:type="textWrapping"/>
            </w:r>
            <w:r>
              <w:rPr>
                <w:rStyle w:val="15"/>
                <w:lang w:val="en-US" w:eastAsia="zh-CN" w:bidi="ar"/>
              </w:rPr>
              <w:t>该项得分，变动率为负数，计</w:t>
            </w:r>
            <w:r>
              <w:rPr>
                <w:rStyle w:val="16"/>
                <w:rFonts w:eastAsia="宋体"/>
                <w:lang w:val="en-US" w:eastAsia="zh-CN" w:bidi="ar"/>
              </w:rPr>
              <w:t>2</w:t>
            </w:r>
            <w:r>
              <w:rPr>
                <w:rStyle w:val="15"/>
                <w:lang w:val="en-US" w:eastAsia="zh-CN" w:bidi="ar"/>
              </w:rPr>
              <w:t>分，变动率为正数，计</w:t>
            </w:r>
            <w:r>
              <w:rPr>
                <w:rStyle w:val="16"/>
                <w:rFonts w:eastAsia="宋体"/>
                <w:lang w:val="en-US" w:eastAsia="zh-CN" w:bidi="ar"/>
              </w:rPr>
              <w:t>0</w:t>
            </w:r>
            <w:r>
              <w:rPr>
                <w:rStyle w:val="15"/>
                <w:lang w:val="en-US" w:eastAsia="zh-CN" w:bidi="ar"/>
              </w:rPr>
              <w:t>分。年度内</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完成数超过预算数，则该项计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本年度和上年度部门（单位）预算</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w:t>
            </w:r>
            <w:r>
              <w:rPr>
                <w:rStyle w:val="16"/>
                <w:rFonts w:eastAsia="宋体"/>
                <w:lang w:val="en-US" w:eastAsia="zh-CN" w:bidi="ar"/>
              </w:rPr>
              <w:br w:type="textWrapping"/>
            </w:r>
            <w:r>
              <w:rPr>
                <w:rStyle w:val="15"/>
                <w:lang w:val="en-US" w:eastAsia="zh-CN" w:bidi="ar"/>
              </w:rPr>
              <w:t>支出</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重点支出安排率</w:t>
            </w:r>
            <w:r>
              <w:rPr>
                <w:rStyle w:val="16"/>
                <w:rFonts w:eastAsia="宋体"/>
                <w:lang w:val="en-US" w:eastAsia="zh-CN" w:bidi="ar"/>
              </w:rPr>
              <w:t>=</w:t>
            </w:r>
            <w:r>
              <w:rPr>
                <w:rStyle w:val="15"/>
                <w:lang w:val="en-US" w:eastAsia="zh-CN" w:bidi="ar"/>
              </w:rPr>
              <w:t>（重点实际支出</w:t>
            </w:r>
            <w:r>
              <w:rPr>
                <w:rStyle w:val="16"/>
                <w:rFonts w:eastAsia="宋体"/>
                <w:lang w:val="en-US" w:eastAsia="zh-CN" w:bidi="ar"/>
              </w:rPr>
              <w:t>/</w:t>
            </w:r>
            <w:r>
              <w:rPr>
                <w:rStyle w:val="15"/>
                <w:lang w:val="en-US" w:eastAsia="zh-CN" w:bidi="ar"/>
              </w:rPr>
              <w:t>重点预算支出）</w:t>
            </w:r>
            <w:r>
              <w:rPr>
                <w:rStyle w:val="16"/>
                <w:rFonts w:eastAsia="宋体"/>
                <w:lang w:val="en-US" w:eastAsia="zh-CN" w:bidi="ar"/>
              </w:rPr>
              <w:t>×100%</w:t>
            </w:r>
            <w:r>
              <w:rPr>
                <w:rStyle w:val="15"/>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安排率</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5</w:t>
            </w:r>
            <w:r>
              <w:rPr>
                <w:rStyle w:val="15"/>
                <w:lang w:val="en-US" w:eastAsia="zh-CN" w:bidi="ar"/>
              </w:rPr>
              <w:t>%扣</w:t>
            </w:r>
            <w:r>
              <w:rPr>
                <w:rStyle w:val="16"/>
                <w:rFonts w:eastAsia="宋体"/>
                <w:lang w:val="en-US" w:eastAsia="zh-CN" w:bidi="ar"/>
              </w:rPr>
              <w:t>0.5</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w:t>
            </w:r>
            <w:r>
              <w:rPr>
                <w:rStyle w:val="16"/>
                <w:rFonts w:eastAsia="宋体"/>
                <w:lang w:val="en-US" w:eastAsia="zh-CN" w:bidi="ar"/>
              </w:rPr>
              <w:br w:type="textWrapping"/>
            </w:r>
            <w:r>
              <w:rPr>
                <w:rStyle w:val="15"/>
                <w:lang w:val="en-US" w:eastAsia="zh-CN" w:bidi="ar"/>
              </w:rPr>
              <w:t>收入</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非税收入完成率</w:t>
            </w:r>
            <w:r>
              <w:rPr>
                <w:rStyle w:val="16"/>
                <w:rFonts w:eastAsia="宋体"/>
                <w:lang w:val="en-US" w:eastAsia="zh-CN" w:bidi="ar"/>
              </w:rPr>
              <w:t>=</w:t>
            </w:r>
            <w:r>
              <w:rPr>
                <w:rStyle w:val="15"/>
                <w:lang w:val="en-US" w:eastAsia="zh-CN" w:bidi="ar"/>
              </w:rPr>
              <w:t>（非税实际收入完成数</w:t>
            </w:r>
            <w:r>
              <w:rPr>
                <w:rStyle w:val="16"/>
                <w:rFonts w:eastAsia="宋体"/>
                <w:lang w:val="en-US" w:eastAsia="zh-CN" w:bidi="ar"/>
              </w:rPr>
              <w:t>/</w:t>
            </w:r>
            <w:r>
              <w:rPr>
                <w:rStyle w:val="15"/>
                <w:lang w:val="en-US" w:eastAsia="zh-CN" w:bidi="ar"/>
              </w:rPr>
              <w:t>非税收入预算数）</w:t>
            </w:r>
            <w:r>
              <w:rPr>
                <w:rStyle w:val="16"/>
                <w:rFonts w:eastAsia="宋体"/>
                <w:lang w:val="en-US" w:eastAsia="zh-CN" w:bidi="ar"/>
              </w:rPr>
              <w:t>×100%</w:t>
            </w:r>
            <w:r>
              <w:rPr>
                <w:rStyle w:val="15"/>
                <w:lang w:val="en-US" w:eastAsia="zh-CN" w:bidi="ar"/>
              </w:rPr>
              <w:t>，有减免因素的，以财政事务中心确定的为准。</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×1</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过程</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47</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w:t>
            </w:r>
            <w:r>
              <w:rPr>
                <w:rStyle w:val="16"/>
                <w:rFonts w:eastAsia="宋体"/>
                <w:lang w:val="en-US" w:eastAsia="zh-CN" w:bidi="ar"/>
              </w:rPr>
              <w:br w:type="textWrapping"/>
            </w:r>
            <w:r>
              <w:rPr>
                <w:rStyle w:val="16"/>
                <w:rFonts w:eastAsia="宋体"/>
                <w:lang w:val="en-US" w:eastAsia="zh-CN" w:bidi="ar"/>
              </w:rPr>
              <w:t>(13</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①预算执行率</w:t>
            </w:r>
            <w:r>
              <w:rPr>
                <w:rStyle w:val="16"/>
                <w:rFonts w:eastAsia="宋体"/>
                <w:lang w:val="en-US" w:eastAsia="zh-CN" w:bidi="ar"/>
              </w:rPr>
              <w:t>=</w:t>
            </w:r>
            <w:r>
              <w:rPr>
                <w:rStyle w:val="15"/>
                <w:lang w:val="en-US" w:eastAsia="zh-CN" w:bidi="ar"/>
              </w:rPr>
              <w:t>（预算完成数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预算执行数：部门（单位）本年度实际完成的预算数。</w:t>
            </w:r>
            <w:r>
              <w:rPr>
                <w:rStyle w:val="16"/>
                <w:rFonts w:eastAsia="宋体"/>
                <w:lang w:val="en-US" w:eastAsia="zh-CN" w:bidi="ar"/>
              </w:rPr>
              <w:br w:type="textWrapping"/>
            </w:r>
            <w:r>
              <w:rPr>
                <w:rStyle w:val="15"/>
                <w:lang w:val="en-US" w:eastAsia="zh-CN" w:bidi="ar"/>
              </w:rPr>
              <w:t>预算数：财政部门批复的本年度部门（单位）预算数及追加的预算数。</w:t>
            </w:r>
            <w:r>
              <w:rPr>
                <w:rStyle w:val="16"/>
                <w:rFonts w:eastAsia="宋体"/>
                <w:lang w:val="en-US" w:eastAsia="zh-CN" w:bidi="ar"/>
              </w:rPr>
              <w:br w:type="textWrapping"/>
            </w:r>
            <w:r>
              <w:rPr>
                <w:rStyle w:val="15"/>
                <w:lang w:val="en-US" w:eastAsia="zh-CN" w:bidi="ar"/>
              </w:rPr>
              <w:t>该项得分，全年预算执行率</w:t>
            </w:r>
            <w:r>
              <w:rPr>
                <w:rStyle w:val="16"/>
                <w:rFonts w:eastAsia="宋体"/>
                <w:lang w:val="en-US" w:eastAsia="zh-CN" w:bidi="ar"/>
              </w:rPr>
              <w:t>95%</w:t>
            </w:r>
            <w:r>
              <w:rPr>
                <w:rStyle w:val="15"/>
                <w:lang w:val="en-US" w:eastAsia="zh-CN" w:bidi="ar"/>
              </w:rPr>
              <w:t>以上计</w:t>
            </w:r>
            <w:r>
              <w:rPr>
                <w:rStyle w:val="16"/>
                <w:rFonts w:eastAsia="宋体"/>
                <w:lang w:val="en-US" w:eastAsia="zh-CN" w:bidi="ar"/>
              </w:rPr>
              <w:t>2</w:t>
            </w:r>
            <w:r>
              <w:rPr>
                <w:rStyle w:val="15"/>
                <w:lang w:val="en-US" w:eastAsia="zh-CN" w:bidi="ar"/>
              </w:rPr>
              <w:t>分，</w:t>
            </w:r>
            <w:r>
              <w:rPr>
                <w:rStyle w:val="16"/>
                <w:rFonts w:eastAsia="宋体"/>
                <w:lang w:val="en-US" w:eastAsia="zh-CN" w:bidi="ar"/>
              </w:rPr>
              <w:t>95-90%</w:t>
            </w:r>
            <w:r>
              <w:rPr>
                <w:rStyle w:val="15"/>
                <w:lang w:val="en-US" w:eastAsia="zh-CN" w:bidi="ar"/>
              </w:rPr>
              <w:t>（含），计</w:t>
            </w:r>
            <w:r>
              <w:rPr>
                <w:rStyle w:val="16"/>
                <w:rFonts w:eastAsia="宋体"/>
                <w:lang w:val="en-US" w:eastAsia="zh-CN" w:bidi="ar"/>
              </w:rPr>
              <w:t>1</w:t>
            </w:r>
            <w:r>
              <w:rPr>
                <w:rStyle w:val="15"/>
                <w:lang w:val="en-US" w:eastAsia="zh-CN" w:bidi="ar"/>
              </w:rPr>
              <w:t>分，</w:t>
            </w:r>
            <w:r>
              <w:rPr>
                <w:rStyle w:val="16"/>
                <w:rFonts w:eastAsia="宋体"/>
                <w:lang w:val="en-US" w:eastAsia="zh-CN" w:bidi="ar"/>
              </w:rPr>
              <w:t>90-80%</w:t>
            </w:r>
            <w:r>
              <w:rPr>
                <w:rStyle w:val="15"/>
                <w:lang w:val="en-US" w:eastAsia="zh-CN" w:bidi="ar"/>
              </w:rPr>
              <w:t>（含），计</w:t>
            </w:r>
            <w:r>
              <w:rPr>
                <w:rStyle w:val="16"/>
                <w:rFonts w:eastAsia="宋体"/>
                <w:lang w:val="en-US" w:eastAsia="zh-CN" w:bidi="ar"/>
              </w:rPr>
              <w:t>0.5</w:t>
            </w:r>
            <w:r>
              <w:rPr>
                <w:rStyle w:val="15"/>
                <w:lang w:val="en-US" w:eastAsia="zh-CN" w:bidi="ar"/>
              </w:rPr>
              <w:t>分，小于</w:t>
            </w:r>
            <w:r>
              <w:rPr>
                <w:rStyle w:val="16"/>
                <w:rFonts w:eastAsia="宋体"/>
                <w:lang w:val="en-US" w:eastAsia="zh-CN" w:bidi="ar"/>
              </w:rPr>
              <w:t>80%</w:t>
            </w:r>
            <w:r>
              <w:rPr>
                <w:rStyle w:val="15"/>
                <w:lang w:val="en-US" w:eastAsia="zh-CN" w:bidi="ar"/>
              </w:rPr>
              <w:t>不得分；</w:t>
            </w:r>
            <w:r>
              <w:rPr>
                <w:rStyle w:val="16"/>
                <w:rFonts w:eastAsia="宋体"/>
                <w:lang w:val="en-US" w:eastAsia="zh-CN" w:bidi="ar"/>
              </w:rPr>
              <w:br w:type="textWrapping"/>
            </w:r>
            <w:r>
              <w:rPr>
                <w:rStyle w:val="15"/>
                <w:lang w:val="en-US" w:eastAsia="zh-CN" w:bidi="ar"/>
              </w:rPr>
              <w:t>②绩效目标执行监控是否按要求完成。</w:t>
            </w:r>
            <w:r>
              <w:rPr>
                <w:rStyle w:val="16"/>
                <w:rFonts w:eastAsia="宋体"/>
                <w:lang w:val="en-US" w:eastAsia="zh-CN" w:bidi="ar"/>
              </w:rPr>
              <w:br w:type="textWrapping"/>
            </w:r>
            <w:r>
              <w:rPr>
                <w:rStyle w:val="15"/>
                <w:lang w:val="en-US" w:eastAsia="zh-CN" w:bidi="ar"/>
              </w:rPr>
              <w:t>该项得分，实施项目资金运行监控的得</w:t>
            </w:r>
            <w:r>
              <w:rPr>
                <w:rStyle w:val="16"/>
                <w:rFonts w:eastAsia="宋体"/>
                <w:lang w:val="en-US" w:eastAsia="zh-CN" w:bidi="ar"/>
              </w:rPr>
              <w:t>2</w:t>
            </w:r>
            <w:r>
              <w:rPr>
                <w:rStyle w:val="15"/>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预算调整率</w:t>
            </w:r>
            <w:r>
              <w:rPr>
                <w:rStyle w:val="16"/>
                <w:rFonts w:eastAsia="宋体"/>
                <w:lang w:val="en-US" w:eastAsia="zh-CN" w:bidi="ar"/>
              </w:rPr>
              <w:t>=</w:t>
            </w:r>
            <w:r>
              <w:rPr>
                <w:rStyle w:val="15"/>
                <w:lang w:val="en-US" w:eastAsia="zh-CN" w:bidi="ar"/>
              </w:rPr>
              <w:t>（预算调整数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6"/>
                <w:rFonts w:eastAsia="宋体"/>
                <w:lang w:val="en-US" w:eastAsia="zh-CN" w:bidi="ar"/>
              </w:rPr>
              <w:br w:type="textWrapping"/>
            </w:r>
            <w:r>
              <w:rPr>
                <w:rStyle w:val="15"/>
                <w:lang w:val="en-US" w:eastAsia="zh-CN" w:bidi="ar"/>
              </w:rPr>
              <w:t>该项得分，预算调整率</w:t>
            </w:r>
            <w:r>
              <w:rPr>
                <w:rStyle w:val="16"/>
                <w:rFonts w:eastAsia="宋体"/>
                <w:lang w:val="en-US" w:eastAsia="zh-CN" w:bidi="ar"/>
              </w:rPr>
              <w:t>&lt;5%</w:t>
            </w:r>
            <w:r>
              <w:rPr>
                <w:rStyle w:val="15"/>
                <w:lang w:val="en-US" w:eastAsia="zh-CN" w:bidi="ar"/>
              </w:rPr>
              <w:t>，计</w:t>
            </w:r>
            <w:r>
              <w:rPr>
                <w:rStyle w:val="16"/>
                <w:rFonts w:eastAsia="宋体"/>
                <w:lang w:val="en-US" w:eastAsia="zh-CN" w:bidi="ar"/>
              </w:rPr>
              <w:t>2</w:t>
            </w:r>
            <w:r>
              <w:rPr>
                <w:rStyle w:val="15"/>
                <w:lang w:val="en-US" w:eastAsia="zh-CN" w:bidi="ar"/>
              </w:rPr>
              <w:t>分；</w:t>
            </w:r>
            <w:r>
              <w:rPr>
                <w:rStyle w:val="16"/>
                <w:rFonts w:eastAsia="宋体"/>
                <w:lang w:val="en-US" w:eastAsia="zh-CN" w:bidi="ar"/>
              </w:rPr>
              <w:t>5-10%</w:t>
            </w:r>
            <w:r>
              <w:rPr>
                <w:rStyle w:val="15"/>
                <w:lang w:val="en-US" w:eastAsia="zh-CN" w:bidi="ar"/>
              </w:rPr>
              <w:t>（含），计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10%</w:t>
            </w:r>
            <w:r>
              <w:rPr>
                <w:rStyle w:val="15"/>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结转</w:t>
            </w:r>
            <w:r>
              <w:rPr>
                <w:rStyle w:val="16"/>
                <w:rFonts w:eastAsia="宋体"/>
                <w:lang w:val="en-US" w:eastAsia="zh-CN" w:bidi="ar"/>
              </w:rPr>
              <w:br w:type="textWrapping"/>
            </w:r>
            <w:r>
              <w:rPr>
                <w:rStyle w:val="15"/>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结转结余率</w:t>
            </w:r>
            <w:r>
              <w:rPr>
                <w:rStyle w:val="16"/>
                <w:rFonts w:eastAsia="宋体"/>
                <w:lang w:val="en-US" w:eastAsia="zh-CN" w:bidi="ar"/>
              </w:rPr>
              <w:t>=</w:t>
            </w:r>
            <w:r>
              <w:rPr>
                <w:rStyle w:val="15"/>
                <w:lang w:val="en-US" w:eastAsia="zh-CN" w:bidi="ar"/>
              </w:rPr>
              <w:t>结转结余总额</w:t>
            </w:r>
            <w:r>
              <w:rPr>
                <w:rStyle w:val="16"/>
                <w:rFonts w:eastAsia="宋体"/>
                <w:lang w:val="en-US" w:eastAsia="zh-CN" w:bidi="ar"/>
              </w:rPr>
              <w:t>/</w:t>
            </w:r>
            <w:r>
              <w:rPr>
                <w:rStyle w:val="15"/>
                <w:lang w:val="en-US" w:eastAsia="zh-CN" w:bidi="ar"/>
              </w:rPr>
              <w:t>支出预算数</w:t>
            </w:r>
            <w:r>
              <w:rPr>
                <w:rStyle w:val="16"/>
                <w:rFonts w:eastAsia="宋体"/>
                <w:lang w:val="en-US" w:eastAsia="zh-CN" w:bidi="ar"/>
              </w:rPr>
              <w:t>×100%</w:t>
            </w:r>
            <w:r>
              <w:rPr>
                <w:rStyle w:val="15"/>
                <w:lang w:val="en-US" w:eastAsia="zh-CN" w:bidi="ar"/>
              </w:rPr>
              <w:t>。结转结余总额：部门本年度的结转资金与结余资金之和（以决算数为准）。</w:t>
            </w:r>
            <w:r>
              <w:rPr>
                <w:rStyle w:val="16"/>
                <w:rFonts w:eastAsia="宋体"/>
                <w:lang w:val="en-US" w:eastAsia="zh-CN" w:bidi="ar"/>
              </w:rPr>
              <w:br w:type="textWrapping"/>
            </w:r>
            <w:r>
              <w:rPr>
                <w:rStyle w:val="15"/>
                <w:lang w:val="en-US" w:eastAsia="zh-CN" w:bidi="ar"/>
              </w:rPr>
              <w:t>该项得分，结余率</w:t>
            </w:r>
            <w:r>
              <w:rPr>
                <w:rStyle w:val="16"/>
                <w:rFonts w:eastAsia="宋体"/>
                <w:lang w:val="en-US" w:eastAsia="zh-CN" w:bidi="ar"/>
              </w:rPr>
              <w:t>≤10%</w:t>
            </w:r>
            <w:r>
              <w:rPr>
                <w:rStyle w:val="15"/>
                <w:lang w:val="en-US" w:eastAsia="zh-CN" w:bidi="ar"/>
              </w:rPr>
              <w:t>的，计</w:t>
            </w:r>
            <w:r>
              <w:rPr>
                <w:rStyle w:val="16"/>
                <w:rFonts w:eastAsia="宋体"/>
                <w:lang w:val="en-US" w:eastAsia="zh-CN" w:bidi="ar"/>
              </w:rPr>
              <w:t>1</w:t>
            </w:r>
            <w:r>
              <w:rPr>
                <w:rStyle w:val="15"/>
                <w:lang w:val="en-US" w:eastAsia="zh-CN" w:bidi="ar"/>
              </w:rPr>
              <w:t>分；结余率</w:t>
            </w:r>
            <w:r>
              <w:rPr>
                <w:rStyle w:val="16"/>
                <w:rFonts w:eastAsia="宋体"/>
                <w:lang w:val="en-US" w:eastAsia="zh-CN" w:bidi="ar"/>
              </w:rPr>
              <w:t>&gt;10%</w:t>
            </w:r>
            <w:r>
              <w:rPr>
                <w:rStyle w:val="15"/>
                <w:lang w:val="en-US" w:eastAsia="zh-CN" w:bidi="ar"/>
              </w:rPr>
              <w:t>（不含），</w:t>
            </w:r>
            <w:r>
              <w:rPr>
                <w:rStyle w:val="16"/>
                <w:rFonts w:eastAsia="宋体"/>
                <w:lang w:val="en-US" w:eastAsia="zh-CN" w:bidi="ar"/>
              </w:rPr>
              <w:t>0.5</w:t>
            </w:r>
            <w:r>
              <w:rPr>
                <w:rStyle w:val="15"/>
                <w:lang w:val="en-US" w:eastAsia="zh-CN" w:bidi="ar"/>
              </w:rPr>
              <w:t>分；本年超支的，计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公用经费</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公用经费控制率</w:t>
            </w:r>
            <w:r>
              <w:rPr>
                <w:rStyle w:val="16"/>
                <w:rFonts w:eastAsia="宋体"/>
                <w:lang w:val="en-US" w:eastAsia="zh-CN" w:bidi="ar"/>
              </w:rPr>
              <w:t>=</w:t>
            </w:r>
            <w:r>
              <w:rPr>
                <w:rStyle w:val="15"/>
                <w:lang w:val="en-US" w:eastAsia="zh-CN" w:bidi="ar"/>
              </w:rPr>
              <w:t>（实际支出公用经费总额</w:t>
            </w:r>
            <w:r>
              <w:rPr>
                <w:rStyle w:val="16"/>
                <w:rFonts w:eastAsia="宋体"/>
                <w:lang w:val="en-US" w:eastAsia="zh-CN" w:bidi="ar"/>
              </w:rPr>
              <w:t>/</w:t>
            </w:r>
            <w:r>
              <w:rPr>
                <w:rStyle w:val="15"/>
                <w:lang w:val="en-US" w:eastAsia="zh-CN" w:bidi="ar"/>
              </w:rPr>
              <w:t>预算安排公用经费总额）</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实际支出数与预算安排数的比率，用以反映和考核部门（单位）对</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控制率</w:t>
            </w:r>
            <w:r>
              <w:rPr>
                <w:rStyle w:val="16"/>
                <w:rFonts w:eastAsia="宋体"/>
                <w:lang w:val="en-US" w:eastAsia="zh-CN" w:bidi="ar"/>
              </w:rPr>
              <w:t>=</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预算安排数）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政府采购</w:t>
            </w:r>
            <w:r>
              <w:rPr>
                <w:rStyle w:val="16"/>
                <w:rFonts w:eastAsia="宋体"/>
                <w:lang w:val="en-US" w:eastAsia="zh-CN" w:bidi="ar"/>
              </w:rPr>
              <w:br w:type="textWrapping"/>
            </w:r>
            <w:r>
              <w:rPr>
                <w:rStyle w:val="15"/>
                <w:lang w:val="en-US" w:eastAsia="zh-CN" w:bidi="ar"/>
              </w:rPr>
              <w:t>执行率和</w:t>
            </w:r>
            <w:r>
              <w:rPr>
                <w:rStyle w:val="16"/>
                <w:rFonts w:eastAsia="宋体"/>
                <w:lang w:val="en-US" w:eastAsia="zh-CN" w:bidi="ar"/>
              </w:rPr>
              <w:br w:type="textWrapping"/>
            </w:r>
            <w:r>
              <w:rPr>
                <w:rStyle w:val="15"/>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①政府采购预算执行率</w:t>
            </w:r>
            <w:r>
              <w:rPr>
                <w:rStyle w:val="16"/>
                <w:rFonts w:eastAsia="宋体"/>
                <w:lang w:val="en-US" w:eastAsia="zh-CN" w:bidi="ar"/>
              </w:rPr>
              <w:t>=</w:t>
            </w:r>
            <w:r>
              <w:rPr>
                <w:rStyle w:val="15"/>
                <w:lang w:val="en-US" w:eastAsia="zh-CN" w:bidi="ar"/>
              </w:rPr>
              <w:t>（实际政府采购金额</w:t>
            </w:r>
            <w:r>
              <w:rPr>
                <w:rStyle w:val="16"/>
                <w:rFonts w:eastAsia="宋体"/>
                <w:lang w:val="en-US" w:eastAsia="zh-CN" w:bidi="ar"/>
              </w:rPr>
              <w:t>/</w:t>
            </w:r>
            <w:r>
              <w:rPr>
                <w:rStyle w:val="15"/>
                <w:lang w:val="en-US" w:eastAsia="zh-CN" w:bidi="ar"/>
              </w:rPr>
              <w:t>政府采购预算数）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政府采购预算：采购机关根据事业发展计划和行政任务编制的、并经过规定程序批准的年度政府采购计划。</w:t>
            </w:r>
            <w:r>
              <w:rPr>
                <w:rStyle w:val="16"/>
                <w:rFonts w:eastAsia="宋体"/>
                <w:lang w:val="en-US" w:eastAsia="zh-CN" w:bidi="ar"/>
              </w:rPr>
              <w:br w:type="textWrapping"/>
            </w:r>
            <w:r>
              <w:rPr>
                <w:rStyle w:val="15"/>
                <w:lang w:val="en-US" w:eastAsia="zh-CN" w:bidi="ar"/>
              </w:rPr>
              <w:t>该项得分，完成本年度采购计划的，政府采购执行率≤</w:t>
            </w:r>
            <w:r>
              <w:rPr>
                <w:rStyle w:val="16"/>
                <w:rFonts w:eastAsia="宋体"/>
                <w:lang w:val="en-US" w:eastAsia="zh-CN" w:bidi="ar"/>
              </w:rPr>
              <w:t>100%</w:t>
            </w:r>
            <w:r>
              <w:rPr>
                <w:rStyle w:val="15"/>
                <w:lang w:val="en-US" w:eastAsia="zh-CN" w:bidi="ar"/>
              </w:rPr>
              <w:t>，计</w:t>
            </w:r>
            <w:r>
              <w:rPr>
                <w:rStyle w:val="16"/>
                <w:rFonts w:eastAsia="宋体"/>
                <w:lang w:val="en-US" w:eastAsia="zh-CN" w:bidi="ar"/>
              </w:rPr>
              <w:t>1</w:t>
            </w:r>
            <w:r>
              <w:rPr>
                <w:rStyle w:val="15"/>
                <w:lang w:val="en-US" w:eastAsia="zh-CN" w:bidi="ar"/>
              </w:rPr>
              <w:t>分，每超过</w:t>
            </w:r>
            <w:r>
              <w:rPr>
                <w:rStyle w:val="16"/>
                <w:rFonts w:eastAsia="宋体"/>
                <w:lang w:val="en-US" w:eastAsia="zh-CN" w:bidi="ar"/>
              </w:rPr>
              <w:t>1%</w:t>
            </w:r>
            <w:r>
              <w:rPr>
                <w:rStyle w:val="15"/>
                <w:lang w:val="en-US" w:eastAsia="zh-CN" w:bidi="ar"/>
              </w:rPr>
              <w:t>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②所有项目依法采购，无规避政府采购或化整为零进行政府采购的行为，并履行验收手续，计0.5分，否则不得分；</w:t>
            </w:r>
            <w:r>
              <w:rPr>
                <w:rStyle w:val="16"/>
                <w:rFonts w:eastAsia="宋体"/>
                <w:lang w:val="en-US" w:eastAsia="zh-CN" w:bidi="ar"/>
              </w:rPr>
              <w:br w:type="textWrapping"/>
            </w:r>
            <w:r>
              <w:rPr>
                <w:rStyle w:val="15"/>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29</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管理制度</w:t>
            </w:r>
            <w:r>
              <w:rPr>
                <w:rStyle w:val="16"/>
                <w:rFonts w:eastAsia="宋体"/>
                <w:lang w:val="en-US" w:eastAsia="zh-CN" w:bidi="ar"/>
              </w:rPr>
              <w:br w:type="textWrapping"/>
            </w:r>
            <w:r>
              <w:rPr>
                <w:rStyle w:val="15"/>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①是否已制定或具有预算资金管理办法、内部财务管理制度、会计核算制度等管理制度；</w:t>
            </w:r>
            <w:r>
              <w:rPr>
                <w:rStyle w:val="16"/>
                <w:rFonts w:eastAsia="宋体"/>
                <w:lang w:val="en-US" w:eastAsia="zh-CN" w:bidi="ar"/>
              </w:rPr>
              <w:br w:type="textWrapping"/>
            </w:r>
            <w:r>
              <w:rPr>
                <w:rStyle w:val="15"/>
                <w:lang w:val="en-US" w:eastAsia="zh-CN" w:bidi="ar"/>
              </w:rPr>
              <w:t>②相关管理制度是否合法、合规、完整；</w:t>
            </w:r>
            <w:r>
              <w:rPr>
                <w:rStyle w:val="16"/>
                <w:rFonts w:eastAsia="宋体"/>
                <w:lang w:val="en-US" w:eastAsia="zh-CN" w:bidi="ar"/>
              </w:rPr>
              <w:br w:type="textWrapping"/>
            </w:r>
            <w:r>
              <w:rPr>
                <w:rStyle w:val="15"/>
                <w:lang w:val="en-US" w:eastAsia="zh-CN" w:bidi="ar"/>
              </w:rPr>
              <w:t>③相关管理制度是否得到有效执行。</w:t>
            </w:r>
            <w:r>
              <w:rPr>
                <w:rStyle w:val="16"/>
                <w:rFonts w:eastAsia="宋体"/>
                <w:lang w:val="en-US" w:eastAsia="zh-CN" w:bidi="ar"/>
              </w:rPr>
              <w:br w:type="textWrapping"/>
            </w:r>
            <w:r>
              <w:rPr>
                <w:rStyle w:val="15"/>
                <w:lang w:val="en-US" w:eastAsia="zh-CN" w:bidi="ar"/>
              </w:rPr>
              <w:t>④会计人员、机构是否按规定设置；</w:t>
            </w:r>
            <w:r>
              <w:rPr>
                <w:rStyle w:val="16"/>
                <w:rFonts w:eastAsia="宋体"/>
                <w:lang w:val="en-US" w:eastAsia="zh-CN" w:bidi="ar"/>
              </w:rPr>
              <w:br w:type="textWrapping"/>
            </w:r>
            <w:r>
              <w:rPr>
                <w:rStyle w:val="15"/>
                <w:lang w:val="en-US" w:eastAsia="zh-CN" w:bidi="ar"/>
              </w:rPr>
              <w:t>⑤会计基础工作是否健全；</w:t>
            </w:r>
            <w:r>
              <w:rPr>
                <w:rStyle w:val="16"/>
                <w:rFonts w:eastAsia="宋体"/>
                <w:lang w:val="en-US" w:eastAsia="zh-CN" w:bidi="ar"/>
              </w:rPr>
              <w:br w:type="textWrapping"/>
            </w:r>
            <w:r>
              <w:rPr>
                <w:rStyle w:val="15"/>
                <w:lang w:val="en-US" w:eastAsia="zh-CN" w:bidi="ar"/>
              </w:rPr>
              <w:t>⑥会计档案是否符合规定要求；</w:t>
            </w:r>
            <w:r>
              <w:rPr>
                <w:rStyle w:val="16"/>
                <w:rFonts w:eastAsia="宋体"/>
                <w:lang w:val="en-US" w:eastAsia="zh-CN" w:bidi="ar"/>
              </w:rPr>
              <w:br w:type="textWrapping"/>
            </w:r>
            <w:r>
              <w:rPr>
                <w:rStyle w:val="15"/>
                <w:lang w:val="en-US" w:eastAsia="zh-CN" w:bidi="ar"/>
              </w:rPr>
              <w:t>⑦项目管理是否规范（包括项目立项、申报、招投标、合同或协议要素、制度建立、按时完工等）。</w:t>
            </w:r>
            <w:r>
              <w:rPr>
                <w:rStyle w:val="16"/>
                <w:rFonts w:eastAsia="宋体"/>
                <w:lang w:val="en-US" w:eastAsia="zh-CN" w:bidi="ar"/>
              </w:rPr>
              <w:br w:type="textWrapping"/>
            </w:r>
            <w:r>
              <w:rPr>
                <w:rStyle w:val="15"/>
                <w:lang w:val="en-US" w:eastAsia="zh-CN" w:bidi="ar"/>
              </w:rPr>
              <w:t>以上情况每发现一例不符合要求的扣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部门（单位）管理制度。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w:t>
            </w:r>
            <w:r>
              <w:rPr>
                <w:rStyle w:val="16"/>
                <w:rFonts w:eastAsia="宋体"/>
                <w:lang w:val="en-US" w:eastAsia="zh-CN" w:bidi="ar"/>
              </w:rPr>
              <w:br w:type="textWrapping"/>
            </w:r>
            <w:r>
              <w:rPr>
                <w:rStyle w:val="15"/>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①符合国家财经法规和财务管理制度以及有关专项资金管理办法的规定，计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②资金的支付有完整的审批程序和手续，计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③重大项目开支和大额资金使用经过单位党组集体研究决策，计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④符合项目预算批复或合同规定的用途，计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⑤没有截留、挤占、挪用、虚列支出等情况，计</w:t>
            </w:r>
            <w:r>
              <w:rPr>
                <w:rStyle w:val="16"/>
                <w:rFonts w:eastAsia="宋体"/>
                <w:lang w:val="en-US" w:eastAsia="zh-CN" w:bidi="ar"/>
              </w:rPr>
              <w:t>1</w:t>
            </w:r>
            <w:r>
              <w:rPr>
                <w:rStyle w:val="15"/>
                <w:lang w:val="en-US" w:eastAsia="zh-CN" w:bidi="ar"/>
              </w:rPr>
              <w:t>分，发生</w:t>
            </w:r>
            <w:r>
              <w:rPr>
                <w:rStyle w:val="16"/>
                <w:rFonts w:eastAsia="宋体"/>
                <w:lang w:val="en-US" w:eastAsia="zh-CN" w:bidi="ar"/>
              </w:rPr>
              <w:t>1</w:t>
            </w:r>
            <w:r>
              <w:rPr>
                <w:rStyle w:val="15"/>
                <w:lang w:val="en-US" w:eastAsia="zh-CN" w:bidi="ar"/>
              </w:rPr>
              <w:t>例不符合本指标的现象</w:t>
            </w:r>
            <w:r>
              <w:rPr>
                <w:rStyle w:val="16"/>
                <w:rFonts w:eastAsia="宋体"/>
                <w:lang w:val="en-US" w:eastAsia="zh-CN" w:bidi="ar"/>
              </w:rPr>
              <w:t>7</w:t>
            </w:r>
            <w:r>
              <w:rPr>
                <w:rStyle w:val="15"/>
                <w:lang w:val="en-US" w:eastAsia="zh-CN" w:bidi="ar"/>
              </w:rPr>
              <w:t>分全扣；</w:t>
            </w:r>
            <w:r>
              <w:rPr>
                <w:rStyle w:val="16"/>
                <w:rFonts w:eastAsia="宋体"/>
                <w:lang w:val="en-US" w:eastAsia="zh-CN" w:bidi="ar"/>
              </w:rPr>
              <w:br w:type="textWrapping"/>
            </w:r>
            <w:r>
              <w:rPr>
                <w:rStyle w:val="15"/>
                <w:lang w:val="en-US" w:eastAsia="zh-CN" w:bidi="ar"/>
              </w:rPr>
              <w:t>⑥原始凭证的取得真实有效，计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⑦无超标准发放津补贴、奖金、无用公款支付应个人支付的款项，计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5"/>
                <w:lang w:val="en-US" w:eastAsia="zh-CN" w:bidi="ar"/>
              </w:rPr>
              <w:br w:type="textWrapping"/>
            </w:r>
            <w:r>
              <w:rPr>
                <w:rStyle w:val="15"/>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信息</w:t>
            </w:r>
            <w:r>
              <w:rPr>
                <w:rStyle w:val="16"/>
                <w:rFonts w:eastAsia="宋体"/>
                <w:lang w:val="en-US" w:eastAsia="zh-CN" w:bidi="ar"/>
              </w:rPr>
              <w:br w:type="textWrapping"/>
            </w:r>
            <w:r>
              <w:rPr>
                <w:rStyle w:val="15"/>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①无涉密情况的预算单位按规定及时、准确、完整的公开预决算和绩效管理信息，计</w:t>
            </w:r>
            <w:r>
              <w:rPr>
                <w:rStyle w:val="16"/>
                <w:rFonts w:eastAsia="宋体"/>
                <w:lang w:val="en-US" w:eastAsia="zh-CN" w:bidi="ar"/>
              </w:rPr>
              <w:t>1</w:t>
            </w:r>
            <w:r>
              <w:rPr>
                <w:rStyle w:val="15"/>
                <w:lang w:val="en-US" w:eastAsia="zh-CN" w:bidi="ar"/>
              </w:rPr>
              <w:t>分，否则，酌情扣分；</w:t>
            </w:r>
            <w:r>
              <w:rPr>
                <w:rStyle w:val="16"/>
                <w:rFonts w:eastAsia="宋体"/>
                <w:lang w:val="en-US" w:eastAsia="zh-CN" w:bidi="ar"/>
              </w:rPr>
              <w:br w:type="textWrapping"/>
            </w:r>
            <w:r>
              <w:rPr>
                <w:rStyle w:val="15"/>
                <w:lang w:val="en-US" w:eastAsia="zh-CN" w:bidi="ar"/>
              </w:rPr>
              <w:t>②基础数据信息和会计信息资料真实、准确、完整，计</w:t>
            </w:r>
            <w:r>
              <w:rPr>
                <w:rStyle w:val="16"/>
                <w:rFonts w:eastAsia="宋体"/>
                <w:lang w:val="en-US" w:eastAsia="zh-CN" w:bidi="ar"/>
              </w:rPr>
              <w:t>1</w:t>
            </w:r>
            <w:r>
              <w:rPr>
                <w:rStyle w:val="15"/>
                <w:lang w:val="en-US" w:eastAsia="zh-CN" w:bidi="ar"/>
              </w:rPr>
              <w:t>分，否则，酌情扣分。</w:t>
            </w:r>
            <w:r>
              <w:rPr>
                <w:rStyle w:val="15"/>
                <w:lang w:val="en-US" w:eastAsia="zh-CN" w:bidi="ar"/>
              </w:rPr>
              <w:br w:type="textWrapping"/>
            </w:r>
            <w:r>
              <w:rPr>
                <w:rStyle w:val="15"/>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非税收入</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①实行收支两条线，计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r>
              <w:rPr>
                <w:rStyle w:val="16"/>
                <w:rFonts w:eastAsia="宋体"/>
                <w:lang w:val="en-US" w:eastAsia="zh-CN" w:bidi="ar"/>
              </w:rPr>
              <w:br w:type="textWrapping"/>
            </w:r>
            <w:r>
              <w:rPr>
                <w:rStyle w:val="15"/>
                <w:lang w:val="en-US" w:eastAsia="zh-CN" w:bidi="ar"/>
              </w:rPr>
              <w:t>②未发生截留、坐支或转移，计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绩效自评</w:t>
            </w:r>
            <w:r>
              <w:rPr>
                <w:rStyle w:val="16"/>
                <w:rFonts w:eastAsia="宋体"/>
                <w:lang w:val="en-US" w:eastAsia="zh-CN" w:bidi="ar"/>
              </w:rPr>
              <w:br w:type="textWrapping"/>
            </w:r>
            <w:r>
              <w:rPr>
                <w:rStyle w:val="15"/>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①是否按要求开展部门（单位）整体支出绩效自评和专项资金支出自评工作。</w:t>
            </w:r>
            <w:r>
              <w:rPr>
                <w:rStyle w:val="16"/>
                <w:rFonts w:eastAsia="宋体"/>
                <w:lang w:val="en-US" w:eastAsia="zh-CN" w:bidi="ar"/>
              </w:rPr>
              <w:br w:type="textWrapping"/>
            </w:r>
            <w:r>
              <w:rPr>
                <w:rStyle w:val="15"/>
                <w:lang w:val="en-US" w:eastAsia="zh-CN" w:bidi="ar"/>
              </w:rPr>
              <w:t>②是否及时报送绩效自评报告；</w:t>
            </w:r>
            <w:r>
              <w:rPr>
                <w:rStyle w:val="16"/>
                <w:rFonts w:eastAsia="宋体"/>
                <w:lang w:val="en-US" w:eastAsia="zh-CN" w:bidi="ar"/>
              </w:rPr>
              <w:br w:type="textWrapping"/>
            </w:r>
            <w:r>
              <w:rPr>
                <w:rStyle w:val="15"/>
                <w:lang w:val="en-US" w:eastAsia="zh-CN" w:bidi="ar"/>
              </w:rPr>
              <w:t>③绩效自评报告是否完整，数据是否全面、真实、准确，绩效指标是否细化量化和科学合理；</w:t>
            </w:r>
            <w:r>
              <w:rPr>
                <w:rStyle w:val="16"/>
                <w:rFonts w:eastAsia="宋体"/>
                <w:lang w:val="en-US" w:eastAsia="zh-CN" w:bidi="ar"/>
              </w:rPr>
              <w:br w:type="textWrapping"/>
            </w:r>
            <w:r>
              <w:rPr>
                <w:rStyle w:val="15"/>
                <w:lang w:val="en-US" w:eastAsia="zh-CN" w:bidi="ar"/>
              </w:rPr>
              <w:t>④绩效自评反映的问题是否具体，意见是否可行，自评发现的问题是否整改；</w:t>
            </w:r>
            <w:r>
              <w:rPr>
                <w:rStyle w:val="16"/>
                <w:rFonts w:eastAsia="宋体"/>
                <w:lang w:val="en-US" w:eastAsia="zh-CN" w:bidi="ar"/>
              </w:rPr>
              <w:br w:type="textWrapping"/>
            </w:r>
            <w:r>
              <w:rPr>
                <w:rStyle w:val="15"/>
                <w:lang w:val="en-US" w:eastAsia="zh-CN" w:bidi="ar"/>
              </w:rPr>
              <w:t>该项得分，①、②、③、④各计</w:t>
            </w:r>
            <w:r>
              <w:rPr>
                <w:rStyle w:val="16"/>
                <w:rFonts w:eastAsia="宋体"/>
                <w:lang w:val="en-US" w:eastAsia="zh-CN" w:bidi="ar"/>
              </w:rPr>
              <w:t>1</w:t>
            </w:r>
            <w:r>
              <w:rPr>
                <w:rStyle w:val="15"/>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重点绩效</w:t>
            </w:r>
            <w:r>
              <w:rPr>
                <w:rStyle w:val="16"/>
                <w:rFonts w:eastAsia="宋体"/>
                <w:lang w:val="en-US" w:eastAsia="zh-CN" w:bidi="ar"/>
              </w:rPr>
              <w:br w:type="textWrapping"/>
            </w:r>
            <w:r>
              <w:rPr>
                <w:rStyle w:val="15"/>
                <w:lang w:val="en-US" w:eastAsia="zh-CN" w:bidi="ar"/>
              </w:rPr>
              <w:t>评价整改</w:t>
            </w:r>
            <w:r>
              <w:rPr>
                <w:rStyle w:val="16"/>
                <w:rFonts w:eastAsia="宋体"/>
                <w:lang w:val="en-US" w:eastAsia="zh-CN" w:bidi="ar"/>
              </w:rPr>
              <w:br w:type="textWrapping"/>
            </w:r>
            <w:r>
              <w:rPr>
                <w:rStyle w:val="15"/>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上轮重点评价问题全部整改，计3分；上轮重点评价问题部分整改，计</w:t>
            </w:r>
            <w:r>
              <w:rPr>
                <w:rStyle w:val="16"/>
                <w:rFonts w:eastAsia="宋体"/>
                <w:lang w:val="en-US" w:eastAsia="zh-CN" w:bidi="ar"/>
              </w:rPr>
              <w:t>1</w:t>
            </w:r>
            <w:r>
              <w:rPr>
                <w:rStyle w:val="15"/>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资产</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①已制定合法、合规、完整的资产管理制度，计</w:t>
            </w:r>
            <w:r>
              <w:rPr>
                <w:rStyle w:val="16"/>
                <w:rFonts w:eastAsia="宋体"/>
                <w:lang w:val="en-US" w:eastAsia="zh-CN" w:bidi="ar"/>
              </w:rPr>
              <w:t>0.5</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②相关资产管理制度得到有效执行，计</w:t>
            </w:r>
            <w:r>
              <w:rPr>
                <w:rStyle w:val="16"/>
                <w:rFonts w:eastAsia="宋体"/>
                <w:lang w:val="en-US" w:eastAsia="zh-CN" w:bidi="ar"/>
              </w:rPr>
              <w:t>0.5</w:t>
            </w:r>
            <w:r>
              <w:rPr>
                <w:rStyle w:val="15"/>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①资产配置合理符合标准、保管完整，账务管理规范，定期盘点并有台账，账实相符的，计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②资产处置规范，计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③资产有偿使用或处置收入及时足额上缴，计</w:t>
            </w:r>
            <w:r>
              <w:rPr>
                <w:rStyle w:val="16"/>
                <w:rFonts w:eastAsia="宋体"/>
                <w:lang w:val="en-US" w:eastAsia="zh-CN" w:bidi="ar"/>
              </w:rPr>
              <w:t>0.5</w:t>
            </w:r>
            <w:r>
              <w:rPr>
                <w:rStyle w:val="15"/>
                <w:lang w:val="en-US" w:eastAsia="zh-CN" w:bidi="ar"/>
              </w:rPr>
              <w:t>分，发现未上缴，本项不得分；</w:t>
            </w:r>
            <w:r>
              <w:rPr>
                <w:rStyle w:val="16"/>
                <w:rFonts w:eastAsia="宋体"/>
                <w:lang w:val="en-US" w:eastAsia="zh-CN" w:bidi="ar"/>
              </w:rPr>
              <w:br w:type="textWrapping"/>
            </w:r>
            <w:r>
              <w:rPr>
                <w:rStyle w:val="15"/>
                <w:lang w:val="en-US" w:eastAsia="zh-CN" w:bidi="ar"/>
              </w:rPr>
              <w:t>④资产购置履行政府采购手续，计</w:t>
            </w:r>
            <w:r>
              <w:rPr>
                <w:rStyle w:val="16"/>
                <w:rFonts w:eastAsia="宋体"/>
                <w:lang w:val="en-US" w:eastAsia="zh-CN" w:bidi="ar"/>
              </w:rPr>
              <w:t>0.3</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分，扣完为止；外租资产全部走合规程序，计</w:t>
            </w:r>
            <w:r>
              <w:rPr>
                <w:rStyle w:val="16"/>
                <w:rFonts w:eastAsia="宋体"/>
                <w:lang w:val="en-US" w:eastAsia="zh-CN" w:bidi="ar"/>
              </w:rPr>
              <w:t>0.2</w:t>
            </w:r>
            <w:r>
              <w:rPr>
                <w:rStyle w:val="15"/>
                <w:lang w:val="en-US" w:eastAsia="zh-CN" w:bidi="ar"/>
              </w:rPr>
              <w:t>分，发现一例不合规，扣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固定资产</w:t>
            </w:r>
            <w:r>
              <w:rPr>
                <w:rStyle w:val="16"/>
                <w:rFonts w:eastAsia="宋体"/>
                <w:lang w:val="en-US" w:eastAsia="zh-CN" w:bidi="ar"/>
              </w:rPr>
              <w:br w:type="textWrapping"/>
            </w:r>
            <w:r>
              <w:rPr>
                <w:rStyle w:val="15"/>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①建了固定资产台账实行编码管理，且编码与实物完全匹配计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②建立了固定资产增减变化审批程序的计0.5分，否则不得分；</w:t>
            </w:r>
            <w:r>
              <w:rPr>
                <w:rStyle w:val="16"/>
                <w:rFonts w:eastAsia="宋体"/>
                <w:lang w:val="en-US" w:eastAsia="zh-CN" w:bidi="ar"/>
              </w:rPr>
              <w:br w:type="textWrapping"/>
            </w:r>
            <w:r>
              <w:rPr>
                <w:rStyle w:val="15"/>
                <w:lang w:val="en-US" w:eastAsia="zh-CN" w:bidi="ar"/>
              </w:rPr>
              <w:t>③固定资产无闲置浪费现象计0.5分，发现一处扣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部门（单位）固定资产实际使用情况；固定资产账。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产出</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22</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职责履行（</w:t>
            </w:r>
            <w:r>
              <w:rPr>
                <w:rStyle w:val="16"/>
                <w:rFonts w:eastAsia="宋体"/>
                <w:lang w:val="en-US" w:eastAsia="zh-CN" w:bidi="ar"/>
              </w:rPr>
              <w:t>22</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部门整体</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以市委、市政府绩效效考核评估结果为依据：优秀，计</w:t>
            </w:r>
            <w:r>
              <w:rPr>
                <w:rStyle w:val="16"/>
                <w:rFonts w:eastAsia="宋体"/>
                <w:lang w:val="en-US" w:eastAsia="zh-CN" w:bidi="ar"/>
              </w:rPr>
              <w:t>6</w:t>
            </w:r>
            <w:r>
              <w:rPr>
                <w:rStyle w:val="15"/>
                <w:lang w:val="en-US" w:eastAsia="zh-CN" w:bidi="ar"/>
              </w:rPr>
              <w:t>分；良好，</w:t>
            </w:r>
            <w:r>
              <w:rPr>
                <w:rStyle w:val="16"/>
                <w:rFonts w:eastAsia="宋体"/>
                <w:lang w:val="en-US" w:eastAsia="zh-CN" w:bidi="ar"/>
              </w:rPr>
              <w:t>4</w:t>
            </w:r>
            <w:r>
              <w:rPr>
                <w:rStyle w:val="15"/>
                <w:lang w:val="en-US" w:eastAsia="zh-CN" w:bidi="ar"/>
              </w:rPr>
              <w:t>分；合格，</w:t>
            </w:r>
            <w:r>
              <w:rPr>
                <w:rStyle w:val="16"/>
                <w:rFonts w:eastAsia="宋体"/>
                <w:lang w:val="en-US" w:eastAsia="zh-CN" w:bidi="ar"/>
              </w:rPr>
              <w:t>2</w:t>
            </w:r>
            <w:r>
              <w:rPr>
                <w:rStyle w:val="15"/>
                <w:lang w:val="en-US" w:eastAsia="zh-CN" w:bidi="ar"/>
              </w:rPr>
              <w:t>分；不合格，</w:t>
            </w:r>
            <w:r>
              <w:rPr>
                <w:rStyle w:val="16"/>
                <w:rFonts w:eastAsia="宋体"/>
                <w:lang w:val="en-US" w:eastAsia="zh-CN" w:bidi="ar"/>
              </w:rPr>
              <w:t>0</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实际</w:t>
            </w:r>
            <w:r>
              <w:rPr>
                <w:rStyle w:val="18"/>
                <w:rFonts w:eastAsia="宋体"/>
                <w:lang w:val="en-US" w:eastAsia="zh-CN" w:bidi="ar"/>
              </w:rPr>
              <w:br w:type="textWrapping"/>
            </w:r>
            <w:r>
              <w:rPr>
                <w:rStyle w:val="17"/>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实际完成率</w:t>
            </w:r>
            <w:r>
              <w:rPr>
                <w:rStyle w:val="18"/>
                <w:rFonts w:eastAsia="宋体"/>
                <w:lang w:val="en-US" w:eastAsia="zh-CN" w:bidi="ar"/>
              </w:rPr>
              <w:t>=</w:t>
            </w:r>
            <w:r>
              <w:rPr>
                <w:rStyle w:val="17"/>
                <w:lang w:val="en-US" w:eastAsia="zh-CN" w:bidi="ar"/>
              </w:rPr>
              <w:t>（实际完成工作数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。实际完成工作数：一定时期（年度或规划期）内部门实际完成工作任务的数量。计划工作数：部门整体绩效目标确定的一定时期（年度或规划期）内预计完成工作任务的数量。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完成</w:t>
            </w:r>
            <w:r>
              <w:rPr>
                <w:rStyle w:val="18"/>
                <w:rFonts w:eastAsia="宋体"/>
                <w:lang w:val="en-US" w:eastAsia="zh-CN" w:bidi="ar"/>
              </w:rPr>
              <w:br w:type="textWrapping"/>
            </w:r>
            <w:r>
              <w:rPr>
                <w:rStyle w:val="17"/>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完成及时率</w:t>
            </w:r>
            <w:r>
              <w:rPr>
                <w:rStyle w:val="18"/>
                <w:rFonts w:eastAsia="宋体"/>
                <w:lang w:val="en-US" w:eastAsia="zh-CN" w:bidi="ar"/>
              </w:rPr>
              <w:t>=</w:t>
            </w:r>
            <w:r>
              <w:rPr>
                <w:rStyle w:val="17"/>
                <w:lang w:val="en-US" w:eastAsia="zh-CN" w:bidi="ar"/>
              </w:rPr>
              <w:t>（及时完成实际工作数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。及时完成实际工作数：部门按照整体绩效目标确定的时限实际完成的工作任务数量。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完成及时率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质量</w:t>
            </w:r>
            <w:r>
              <w:rPr>
                <w:rStyle w:val="18"/>
                <w:rFonts w:eastAsia="宋体"/>
                <w:lang w:val="en-US" w:eastAsia="zh-CN" w:bidi="ar"/>
              </w:rPr>
              <w:br w:type="textWrapping"/>
            </w:r>
            <w:r>
              <w:rPr>
                <w:rStyle w:val="17"/>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达到质量标准（绩效标准值）的实际工作数与计划工作数的比率</w:t>
            </w:r>
            <w:r>
              <w:rPr>
                <w:rStyle w:val="18"/>
                <w:rFonts w:eastAsia="宋体"/>
                <w:lang w:val="en-US" w:eastAsia="zh-CN" w:bidi="ar"/>
              </w:rPr>
              <w:t>,</w:t>
            </w:r>
            <w:r>
              <w:rPr>
                <w:rStyle w:val="17"/>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质量达标率</w:t>
            </w:r>
            <w:r>
              <w:rPr>
                <w:rStyle w:val="18"/>
                <w:rFonts w:eastAsia="宋体"/>
                <w:lang w:val="en-US" w:eastAsia="zh-CN" w:bidi="ar"/>
              </w:rPr>
              <w:t>=</w:t>
            </w:r>
            <w:r>
              <w:rPr>
                <w:rStyle w:val="17"/>
                <w:lang w:val="en-US" w:eastAsia="zh-CN" w:bidi="ar"/>
              </w:rPr>
              <w:t>（质量达标实际工作数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。质量达标实际工作数：一定时期（年度或规划期）内部门实际完成工作数中达到部门绩效目标要求（绩效标准值）的工作任务数量。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达标率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w:t>
            </w:r>
            <w:r>
              <w:rPr>
                <w:rStyle w:val="18"/>
                <w:rFonts w:eastAsia="宋体"/>
                <w:lang w:val="en-US" w:eastAsia="zh-CN" w:bidi="ar"/>
              </w:rPr>
              <w:br w:type="textWrapping"/>
            </w:r>
            <w:r>
              <w:rPr>
                <w:rStyle w:val="17"/>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重点工作办结率</w:t>
            </w:r>
            <w:r>
              <w:rPr>
                <w:rStyle w:val="18"/>
                <w:rFonts w:eastAsia="宋体"/>
                <w:lang w:val="en-US" w:eastAsia="zh-CN" w:bidi="ar"/>
              </w:rPr>
              <w:t>=</w:t>
            </w:r>
            <w:r>
              <w:rPr>
                <w:rStyle w:val="17"/>
                <w:lang w:val="en-US" w:eastAsia="zh-CN" w:bidi="ar"/>
              </w:rPr>
              <w:t>（重点工作实际完成数</w:t>
            </w:r>
            <w:r>
              <w:rPr>
                <w:rStyle w:val="18"/>
                <w:rFonts w:eastAsia="宋体"/>
                <w:lang w:val="en-US" w:eastAsia="zh-CN" w:bidi="ar"/>
              </w:rPr>
              <w:t>/</w:t>
            </w:r>
            <w:r>
              <w:rPr>
                <w:rStyle w:val="17"/>
                <w:lang w:val="en-US" w:eastAsia="zh-CN" w:bidi="ar"/>
              </w:rPr>
              <w:t>交办或下达数）</w:t>
            </w:r>
            <w:r>
              <w:rPr>
                <w:rStyle w:val="18"/>
                <w:rFonts w:eastAsia="宋体"/>
                <w:lang w:val="en-US" w:eastAsia="zh-CN" w:bidi="ar"/>
              </w:rPr>
              <w:t>×100%</w:t>
            </w:r>
            <w:r>
              <w:rPr>
                <w:rStyle w:val="17"/>
                <w:lang w:val="en-US" w:eastAsia="zh-CN" w:bidi="ar"/>
              </w:rPr>
              <w:t>。</w:t>
            </w:r>
            <w:r>
              <w:rPr>
                <w:rStyle w:val="18"/>
                <w:rFonts w:eastAsia="宋体"/>
                <w:lang w:val="en-US" w:eastAsia="zh-CN" w:bidi="ar"/>
              </w:rPr>
              <w:br w:type="textWrapping"/>
            </w:r>
            <w:r>
              <w:rPr>
                <w:rStyle w:val="17"/>
                <w:lang w:val="en-US" w:eastAsia="zh-CN" w:bidi="ar"/>
              </w:rPr>
              <w:t>重点工作是指党委、政府、人大、相关部门交办或下达的工作任务。</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办结率</w:t>
            </w:r>
            <w:r>
              <w:rPr>
                <w:rStyle w:val="18"/>
                <w:rFonts w:eastAsia="宋体"/>
                <w:lang w:val="en-US" w:eastAsia="zh-CN" w:bidi="ar"/>
              </w:rPr>
              <w:t>×4</w:t>
            </w:r>
            <w:r>
              <w:rPr>
                <w:rStyle w:val="17"/>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效果</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17</w:t>
            </w:r>
            <w:r>
              <w:rPr>
                <w:rStyle w:val="15"/>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履职效益（</w:t>
            </w:r>
            <w:r>
              <w:rPr>
                <w:rStyle w:val="18"/>
                <w:rFonts w:eastAsia="宋体"/>
                <w:lang w:val="en-US" w:eastAsia="zh-CN" w:bidi="ar"/>
              </w:rPr>
              <w:t>17</w:t>
            </w:r>
            <w:r>
              <w:rPr>
                <w:rStyle w:val="17"/>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经济</w:t>
            </w:r>
            <w:r>
              <w:rPr>
                <w:rStyle w:val="18"/>
                <w:rFonts w:eastAsia="宋体"/>
                <w:lang w:val="en-US" w:eastAsia="zh-CN" w:bidi="ar"/>
              </w:rPr>
              <w:br w:type="textWrapping"/>
            </w:r>
            <w:r>
              <w:rPr>
                <w:rStyle w:val="17"/>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此三项指标可根据部门实际并结合部门整体支出绩效目标设立情况有选择的进行评价。</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生态</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社会公众或服务对象是指部门履行职责而影响到的部门、群体或个人。一般采取社会调查的方式</w:t>
            </w:r>
            <w:r>
              <w:rPr>
                <w:rStyle w:val="18"/>
                <w:rFonts w:eastAsia="宋体"/>
                <w:lang w:val="en-US" w:eastAsia="zh-CN" w:bidi="ar"/>
              </w:rPr>
              <w:t>(</w:t>
            </w:r>
            <w:r>
              <w:rPr>
                <w:rStyle w:val="17"/>
                <w:lang w:val="en-US" w:eastAsia="zh-CN" w:bidi="ar"/>
              </w:rPr>
              <w:t>不少于</w:t>
            </w:r>
            <w:r>
              <w:rPr>
                <w:rStyle w:val="18"/>
                <w:rFonts w:eastAsia="宋体"/>
                <w:lang w:val="en-US" w:eastAsia="zh-CN" w:bidi="ar"/>
              </w:rPr>
              <w:t>30</w:t>
            </w:r>
            <w:r>
              <w:rPr>
                <w:rStyle w:val="17"/>
                <w:lang w:val="en-US" w:eastAsia="zh-CN" w:bidi="ar"/>
              </w:rPr>
              <w:t>份</w:t>
            </w:r>
            <w:r>
              <w:rPr>
                <w:rStyle w:val="18"/>
                <w:rFonts w:eastAsia="宋体"/>
                <w:lang w:val="en-US" w:eastAsia="zh-CN" w:bidi="ar"/>
              </w:rPr>
              <w:t>)</w:t>
            </w:r>
            <w:r>
              <w:rPr>
                <w:rStyle w:val="17"/>
                <w:lang w:val="en-US" w:eastAsia="zh-CN" w:bidi="ar"/>
              </w:rPr>
              <w:t>。</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满意率</w:t>
            </w:r>
            <w:r>
              <w:rPr>
                <w:rStyle w:val="18"/>
                <w:rFonts w:eastAsia="宋体"/>
                <w:lang w:val="en-US" w:eastAsia="zh-CN" w:bidi="ar"/>
              </w:rPr>
              <w:t>×8</w:t>
            </w:r>
            <w:r>
              <w:rPr>
                <w:rStyle w:val="17"/>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9"/>
                <w:lang w:val="en-US" w:eastAsia="zh-CN" w:bidi="ar"/>
              </w:rPr>
              <w:t>合</w:t>
            </w:r>
            <w:r>
              <w:rPr>
                <w:rStyle w:val="20"/>
                <w:rFonts w:eastAsia="宋体"/>
                <w:lang w:val="en-US" w:eastAsia="zh-CN" w:bidi="ar"/>
              </w:rPr>
              <w:t xml:space="preserve">  </w:t>
            </w:r>
            <w:r>
              <w:rPr>
                <w:rStyle w:val="19"/>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98</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9"/>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168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164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2021.14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464.28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89.35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5.53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54.31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1561.03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tabs>
                <w:tab w:val="center" w:pos="837"/>
              </w:tabs>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numPr>
                <w:ilvl w:val="0"/>
                <w:numId w:val="4"/>
              </w:numP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加强监督力度，规范审批；</w:t>
            </w:r>
          </w:p>
          <w:p>
            <w:pPr>
              <w:numPr>
                <w:ilvl w:val="0"/>
                <w:numId w:val="4"/>
              </w:numPr>
              <w:rPr>
                <w:rFonts w:hint="eastAsia" w:ascii="宋体" w:hAnsi="宋体" w:eastAsia="宋体" w:cs="宋体"/>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厉行节约，严格控制一般性公用经费支出；</w:t>
            </w:r>
          </w:p>
          <w:p>
            <w:pPr>
              <w:numPr>
                <w:ilvl w:val="0"/>
                <w:numId w:val="4"/>
              </w:numPr>
              <w:rPr>
                <w:rFonts w:hint="eastAsia" w:ascii="宋体" w:hAnsi="宋体" w:eastAsia="宋体" w:cs="宋体"/>
                <w:i w:val="0"/>
                <w:iCs w:val="0"/>
                <w:color w:val="000000"/>
                <w:sz w:val="24"/>
                <w:szCs w:val="24"/>
                <w:u w:val="none"/>
                <w:lang w:eastAsia="zh-CN"/>
              </w:rPr>
            </w:pPr>
            <w:r>
              <w:rPr>
                <w:rFonts w:hint="eastAsia" w:ascii="仿宋" w:hAnsi="仿宋" w:eastAsia="仿宋" w:cs="仿宋"/>
                <w:i w:val="0"/>
                <w:iCs w:val="0"/>
                <w:color w:val="000000"/>
                <w:sz w:val="20"/>
                <w:szCs w:val="20"/>
                <w:u w:val="none"/>
                <w:lang w:eastAsia="zh-CN"/>
              </w:rPr>
              <w:t>大力倡导全民节约，切实提高使用效益。</w:t>
            </w:r>
          </w:p>
        </w:tc>
      </w:tr>
    </w:tbl>
    <w:p>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填表人：杨思薇  填报日期：2024年2月29日 联系电话：19973926360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BAB917-9B20-47B5-97A4-3BC31AA4F8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825C07-3D09-4F2B-AD3D-987350480302}"/>
  </w:font>
  <w:font w:name="仿宋_GB2312">
    <w:panose1 w:val="02010609030101010101"/>
    <w:charset w:val="86"/>
    <w:family w:val="modern"/>
    <w:pitch w:val="default"/>
    <w:sig w:usb0="00000000" w:usb1="00000000" w:usb2="00000000" w:usb3="00000000" w:csb0="00000000" w:csb1="00000000"/>
    <w:embedRegular r:id="rId3" w:fontKey="{4461A305-D68A-4D76-B1DB-CA3F74FB67E3}"/>
  </w:font>
  <w:font w:name="仿宋">
    <w:panose1 w:val="02010609060101010101"/>
    <w:charset w:val="86"/>
    <w:family w:val="modern"/>
    <w:pitch w:val="default"/>
    <w:sig w:usb0="800002BF" w:usb1="38CF7CFA" w:usb2="00000016" w:usb3="00000000" w:csb0="00040001" w:csb1="00000000"/>
    <w:embedRegular r:id="rId4" w:fontKey="{96064A87-8CCC-48EE-AA45-DA967D95875C}"/>
  </w:font>
  <w:font w:name="方正小标宋简体">
    <w:panose1 w:val="02000000000000000000"/>
    <w:charset w:val="86"/>
    <w:family w:val="auto"/>
    <w:pitch w:val="default"/>
    <w:sig w:usb0="00000000" w:usb1="00000000" w:usb2="00000000" w:usb3="00000000" w:csb0="00000000" w:csb1="00000000"/>
    <w:embedRegular r:id="rId5" w:fontKey="{389950E1-C31D-4B54-ABD2-5E4293EAF363}"/>
  </w:font>
  <w:font w:name="楷体">
    <w:panose1 w:val="02010609060101010101"/>
    <w:charset w:val="86"/>
    <w:family w:val="modern"/>
    <w:pitch w:val="default"/>
    <w:sig w:usb0="800002BF" w:usb1="38CF7CFA" w:usb2="00000016" w:usb3="00000000" w:csb0="00040001" w:csb1="00000000"/>
    <w:embedRegular r:id="rId6" w:fontKey="{1522A935-93F4-4CB1-AF5D-76277C246A68}"/>
  </w:font>
  <w:font w:name="方正小标宋_GBK">
    <w:panose1 w:val="02000000000000000000"/>
    <w:charset w:val="86"/>
    <w:family w:val="script"/>
    <w:pitch w:val="default"/>
    <w:sig w:usb0="00000000" w:usb1="00000000" w:usb2="00000000" w:usb3="00000000" w:csb0="00000000" w:csb1="00000000"/>
    <w:embedRegular r:id="rId7" w:fontKey="{49867520-F854-4B0A-8143-88E2DD217755}"/>
  </w:font>
  <w:font w:name="楷体_GB2312">
    <w:panose1 w:val="02010609030101010101"/>
    <w:charset w:val="86"/>
    <w:family w:val="modern"/>
    <w:pitch w:val="default"/>
    <w:sig w:usb0="00000000" w:usb1="00000000" w:usb2="00000000" w:usb3="00000000" w:csb0="00000000" w:csb1="00000000"/>
    <w:embedRegular r:id="rId8" w:fontKey="{E1D261D7-24AF-45E0-91FC-B30F9482F384}"/>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9AC4A"/>
    <w:multiLevelType w:val="singleLevel"/>
    <w:tmpl w:val="44C9AC4A"/>
    <w:lvl w:ilvl="0" w:tentative="0">
      <w:start w:val="2"/>
      <w:numFmt w:val="chineseCounting"/>
      <w:suff w:val="nothing"/>
      <w:lvlText w:val="（%1）"/>
      <w:lvlJc w:val="left"/>
      <w:rPr>
        <w:rFonts w:hint="eastAsia"/>
      </w:rPr>
    </w:lvl>
  </w:abstractNum>
  <w:abstractNum w:abstractNumId="1">
    <w:nsid w:val="48297744"/>
    <w:multiLevelType w:val="singleLevel"/>
    <w:tmpl w:val="48297744"/>
    <w:lvl w:ilvl="0" w:tentative="0">
      <w:start w:val="4"/>
      <w:numFmt w:val="chineseCounting"/>
      <w:suff w:val="nothing"/>
      <w:lvlText w:val="%1、"/>
      <w:lvlJc w:val="left"/>
      <w:rPr>
        <w:rFonts w:hint="eastAsia"/>
      </w:rPr>
    </w:lvl>
  </w:abstractNum>
  <w:abstractNum w:abstractNumId="2">
    <w:nsid w:val="74524435"/>
    <w:multiLevelType w:val="singleLevel"/>
    <w:tmpl w:val="74524435"/>
    <w:lvl w:ilvl="0" w:tentative="0">
      <w:start w:val="2"/>
      <w:numFmt w:val="chineseCounting"/>
      <w:suff w:val="nothing"/>
      <w:lvlText w:val="（%1）"/>
      <w:lvlJc w:val="left"/>
      <w:rPr>
        <w:rFonts w:hint="eastAsia"/>
      </w:rPr>
    </w:lvl>
  </w:abstractNum>
  <w:abstractNum w:abstractNumId="3">
    <w:nsid w:val="7667C704"/>
    <w:multiLevelType w:val="singleLevel"/>
    <w:tmpl w:val="7667C704"/>
    <w:lvl w:ilvl="0" w:tentative="0">
      <w:start w:val="1"/>
      <w:numFmt w:val="chineseCounting"/>
      <w:suff w:val="nothing"/>
      <w:lvlText w:val="%1、"/>
      <w:lvlJc w:val="left"/>
      <w:rPr>
        <w:rFonts w:hint="eastAsia" w:ascii="仿宋" w:hAnsi="仿宋" w:eastAsia="仿宋" w:cs="仿宋"/>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TI2ODM2MmY3MDU1ZTY0Y2MxZGIyN2NiMWUyMzc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3D218F"/>
    <w:rsid w:val="06B14C94"/>
    <w:rsid w:val="07061C60"/>
    <w:rsid w:val="07601F6F"/>
    <w:rsid w:val="0859360A"/>
    <w:rsid w:val="087251E8"/>
    <w:rsid w:val="090C0797"/>
    <w:rsid w:val="092550F0"/>
    <w:rsid w:val="09636F12"/>
    <w:rsid w:val="097C5C69"/>
    <w:rsid w:val="0B402ED3"/>
    <w:rsid w:val="0B5575DE"/>
    <w:rsid w:val="0B595BEC"/>
    <w:rsid w:val="0D013842"/>
    <w:rsid w:val="0D605FA4"/>
    <w:rsid w:val="0DAC1131"/>
    <w:rsid w:val="0DCD1FE2"/>
    <w:rsid w:val="0EE2096A"/>
    <w:rsid w:val="0F0351A9"/>
    <w:rsid w:val="0F6040CA"/>
    <w:rsid w:val="0F686EA2"/>
    <w:rsid w:val="0FA4224E"/>
    <w:rsid w:val="10125033"/>
    <w:rsid w:val="13063EC3"/>
    <w:rsid w:val="150E0C1B"/>
    <w:rsid w:val="18F86680"/>
    <w:rsid w:val="194621AC"/>
    <w:rsid w:val="1C96001A"/>
    <w:rsid w:val="1DA67C4F"/>
    <w:rsid w:val="1E1B62F5"/>
    <w:rsid w:val="1E4A056C"/>
    <w:rsid w:val="2051109F"/>
    <w:rsid w:val="20DC27D1"/>
    <w:rsid w:val="213F01B2"/>
    <w:rsid w:val="21486D67"/>
    <w:rsid w:val="217355DC"/>
    <w:rsid w:val="26A1499A"/>
    <w:rsid w:val="26CA0729"/>
    <w:rsid w:val="26EC76C6"/>
    <w:rsid w:val="273137CC"/>
    <w:rsid w:val="27654B82"/>
    <w:rsid w:val="279C010A"/>
    <w:rsid w:val="29590FEE"/>
    <w:rsid w:val="297E7214"/>
    <w:rsid w:val="2ACD4C49"/>
    <w:rsid w:val="2B9C3577"/>
    <w:rsid w:val="2BBA09D7"/>
    <w:rsid w:val="2BD440AE"/>
    <w:rsid w:val="2BD575BF"/>
    <w:rsid w:val="2C6944DC"/>
    <w:rsid w:val="2DB2495A"/>
    <w:rsid w:val="2E567E64"/>
    <w:rsid w:val="2EF0518E"/>
    <w:rsid w:val="2F373F0A"/>
    <w:rsid w:val="2F465CE9"/>
    <w:rsid w:val="30133FEC"/>
    <w:rsid w:val="301467A7"/>
    <w:rsid w:val="319E58AE"/>
    <w:rsid w:val="32E672DE"/>
    <w:rsid w:val="33173320"/>
    <w:rsid w:val="33F47CCB"/>
    <w:rsid w:val="367E6347"/>
    <w:rsid w:val="36B74B2C"/>
    <w:rsid w:val="36F27217"/>
    <w:rsid w:val="376A7251"/>
    <w:rsid w:val="38FF20BA"/>
    <w:rsid w:val="3B4A4976"/>
    <w:rsid w:val="3D6A788A"/>
    <w:rsid w:val="3E1C6CCE"/>
    <w:rsid w:val="3F07230B"/>
    <w:rsid w:val="401A4DB7"/>
    <w:rsid w:val="40551718"/>
    <w:rsid w:val="411440C1"/>
    <w:rsid w:val="412A5093"/>
    <w:rsid w:val="41D96CAB"/>
    <w:rsid w:val="438C45B0"/>
    <w:rsid w:val="43CA6E24"/>
    <w:rsid w:val="448C37A5"/>
    <w:rsid w:val="44AE371A"/>
    <w:rsid w:val="44F540AF"/>
    <w:rsid w:val="4750610E"/>
    <w:rsid w:val="476A2E5A"/>
    <w:rsid w:val="48D77849"/>
    <w:rsid w:val="492E6CEA"/>
    <w:rsid w:val="499C5626"/>
    <w:rsid w:val="49D62A28"/>
    <w:rsid w:val="4A6A422A"/>
    <w:rsid w:val="4C3126A7"/>
    <w:rsid w:val="4C985623"/>
    <w:rsid w:val="4D1D75B1"/>
    <w:rsid w:val="4DC14C54"/>
    <w:rsid w:val="4E7E71EB"/>
    <w:rsid w:val="5025403F"/>
    <w:rsid w:val="512D283B"/>
    <w:rsid w:val="51706157"/>
    <w:rsid w:val="51876716"/>
    <w:rsid w:val="51A64FE7"/>
    <w:rsid w:val="52245ABB"/>
    <w:rsid w:val="544E62B5"/>
    <w:rsid w:val="54D83964"/>
    <w:rsid w:val="54FE0129"/>
    <w:rsid w:val="551E5284"/>
    <w:rsid w:val="5689557B"/>
    <w:rsid w:val="569958AC"/>
    <w:rsid w:val="56DF0120"/>
    <w:rsid w:val="57965D12"/>
    <w:rsid w:val="580C501E"/>
    <w:rsid w:val="587F7BAB"/>
    <w:rsid w:val="590B7824"/>
    <w:rsid w:val="591569C0"/>
    <w:rsid w:val="598A0134"/>
    <w:rsid w:val="59BA41A7"/>
    <w:rsid w:val="5B0867BA"/>
    <w:rsid w:val="5E2D0ECA"/>
    <w:rsid w:val="5E7E2E48"/>
    <w:rsid w:val="5EB920A6"/>
    <w:rsid w:val="5EE15247"/>
    <w:rsid w:val="5FEB66AA"/>
    <w:rsid w:val="60913F7E"/>
    <w:rsid w:val="611C2A4E"/>
    <w:rsid w:val="61ED0983"/>
    <w:rsid w:val="621A2785"/>
    <w:rsid w:val="62380621"/>
    <w:rsid w:val="62882906"/>
    <w:rsid w:val="6296592A"/>
    <w:rsid w:val="62AA63A9"/>
    <w:rsid w:val="6391621A"/>
    <w:rsid w:val="64653D4C"/>
    <w:rsid w:val="64821F10"/>
    <w:rsid w:val="64BB7C34"/>
    <w:rsid w:val="657A4758"/>
    <w:rsid w:val="693B1A2C"/>
    <w:rsid w:val="6AAD7617"/>
    <w:rsid w:val="6BDD159D"/>
    <w:rsid w:val="6D5C5F65"/>
    <w:rsid w:val="70561C9A"/>
    <w:rsid w:val="71AF52DC"/>
    <w:rsid w:val="71C15269"/>
    <w:rsid w:val="752D41F9"/>
    <w:rsid w:val="754E0713"/>
    <w:rsid w:val="77F770D8"/>
    <w:rsid w:val="78340796"/>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pPr>
    <w:rPr>
      <w:rFonts w:ascii="仿宋_GB2312" w:eastAsia="仿宋_GB2312"/>
      <w:bCs/>
      <w:sz w:val="32"/>
      <w:szCs w:val="32"/>
    </w:rPr>
  </w:style>
  <w:style w:type="paragraph" w:styleId="5">
    <w:name w:val="Normal Indent"/>
    <w:basedOn w:val="1"/>
    <w:qFormat/>
    <w:uiPriority w:val="99"/>
    <w:pPr>
      <w:ind w:firstLine="420" w:firstLineChars="200"/>
    </w:pPr>
    <w:rPr>
      <w:rFonts w:eastAsia="仿宋"/>
      <w:sz w:val="32"/>
      <w:szCs w:val="32"/>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4">
    <w:name w:val="页脚 Char"/>
    <w:basedOn w:val="11"/>
    <w:link w:val="6"/>
    <w:qFormat/>
    <w:uiPriority w:val="99"/>
    <w:rPr>
      <w:kern w:val="2"/>
      <w:sz w:val="18"/>
      <w:szCs w:val="18"/>
    </w:rPr>
  </w:style>
  <w:style w:type="character" w:customStyle="1" w:styleId="15">
    <w:name w:val="font41"/>
    <w:basedOn w:val="11"/>
    <w:qFormat/>
    <w:uiPriority w:val="0"/>
    <w:rPr>
      <w:rFonts w:hint="eastAsia" w:ascii="宋体" w:hAnsi="宋体" w:eastAsia="宋体" w:cs="宋体"/>
      <w:color w:val="000000"/>
      <w:sz w:val="18"/>
      <w:szCs w:val="18"/>
      <w:u w:val="none"/>
    </w:rPr>
  </w:style>
  <w:style w:type="character" w:customStyle="1" w:styleId="16">
    <w:name w:val="font51"/>
    <w:basedOn w:val="11"/>
    <w:qFormat/>
    <w:uiPriority w:val="0"/>
    <w:rPr>
      <w:rFonts w:hint="default" w:ascii="Times New Roman" w:hAnsi="Times New Roman" w:cs="Times New Roman"/>
      <w:color w:val="000000"/>
      <w:sz w:val="18"/>
      <w:szCs w:val="18"/>
      <w:u w:val="none"/>
    </w:rPr>
  </w:style>
  <w:style w:type="character" w:customStyle="1" w:styleId="17">
    <w:name w:val="font71"/>
    <w:basedOn w:val="11"/>
    <w:qFormat/>
    <w:uiPriority w:val="0"/>
    <w:rPr>
      <w:rFonts w:hint="eastAsia" w:ascii="宋体" w:hAnsi="宋体" w:eastAsia="宋体" w:cs="宋体"/>
      <w:color w:val="000000"/>
      <w:sz w:val="18"/>
      <w:szCs w:val="18"/>
      <w:u w:val="none"/>
    </w:rPr>
  </w:style>
  <w:style w:type="character" w:customStyle="1" w:styleId="18">
    <w:name w:val="font61"/>
    <w:basedOn w:val="11"/>
    <w:qFormat/>
    <w:uiPriority w:val="0"/>
    <w:rPr>
      <w:rFonts w:hint="default" w:ascii="Times New Roman" w:hAnsi="Times New Roman" w:cs="Times New Roman"/>
      <w:color w:val="000000"/>
      <w:sz w:val="18"/>
      <w:szCs w:val="18"/>
      <w:u w:val="none"/>
    </w:rPr>
  </w:style>
  <w:style w:type="character" w:customStyle="1" w:styleId="19">
    <w:name w:val="font11"/>
    <w:basedOn w:val="11"/>
    <w:qFormat/>
    <w:uiPriority w:val="0"/>
    <w:rPr>
      <w:rFonts w:hint="eastAsia" w:ascii="宋体" w:hAnsi="宋体" w:eastAsia="宋体" w:cs="宋体"/>
      <w:color w:val="000000"/>
      <w:sz w:val="18"/>
      <w:szCs w:val="18"/>
      <w:u w:val="none"/>
    </w:rPr>
  </w:style>
  <w:style w:type="character" w:customStyle="1" w:styleId="20">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9657</Words>
  <Characters>10284</Characters>
  <Lines>56</Lines>
  <Paragraphs>15</Paragraphs>
  <TotalTime>2</TotalTime>
  <ScaleCrop>false</ScaleCrop>
  <LinksUpToDate>false</LinksUpToDate>
  <CharactersWithSpaces>10344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Sveta</cp:lastModifiedBy>
  <cp:lastPrinted>2024-07-10T07:52:00Z</cp:lastPrinted>
  <dcterms:modified xsi:type="dcterms:W3CDTF">2024-07-10T09:08:22Z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5621C07393DD4E9191102721C4BD54A3_13</vt:lpwstr>
  </property>
</Properties>
</file>