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ind w:right="641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rPr>
          <w:rFonts w:eastAsia="黑体"/>
          <w:sz w:val="44"/>
        </w:rPr>
      </w:pPr>
    </w:p>
    <w:p>
      <w:pPr>
        <w:rPr>
          <w:rFonts w:eastAsia="黑体"/>
          <w:sz w:val="44"/>
        </w:rPr>
      </w:pPr>
    </w:p>
    <w:p>
      <w:pPr>
        <w:rPr>
          <w:rFonts w:eastAsia="黑体"/>
          <w:sz w:val="44"/>
        </w:rPr>
      </w:pPr>
    </w:p>
    <w:p>
      <w:pPr>
        <w:jc w:val="center"/>
        <w:rPr>
          <w:rFonts w:ascii="宋体" w:hAnsi="宋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邵阳县20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年度部门整体支出绩效自评报告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（封面）</w:t>
      </w:r>
    </w:p>
    <w:p>
      <w:pPr>
        <w:jc w:val="center"/>
        <w:rPr>
          <w:rFonts w:ascii="宋体" w:hAnsi="宋体"/>
          <w:sz w:val="44"/>
          <w:szCs w:val="44"/>
        </w:rPr>
      </w:pPr>
    </w:p>
    <w:p>
      <w:pPr>
        <w:spacing w:line="600" w:lineRule="exact"/>
        <w:rPr>
          <w:sz w:val="36"/>
        </w:rPr>
      </w:pPr>
    </w:p>
    <w:p>
      <w:pPr>
        <w:spacing w:line="600" w:lineRule="exact"/>
        <w:rPr>
          <w:sz w:val="36"/>
        </w:rPr>
      </w:pPr>
    </w:p>
    <w:p>
      <w:pPr>
        <w:spacing w:line="600" w:lineRule="exact"/>
        <w:rPr>
          <w:sz w:val="36"/>
        </w:rPr>
      </w:pPr>
    </w:p>
    <w:p>
      <w:pPr>
        <w:spacing w:line="600" w:lineRule="exact"/>
        <w:rPr>
          <w:sz w:val="36"/>
        </w:rPr>
      </w:pPr>
    </w:p>
    <w:p>
      <w:pPr>
        <w:spacing w:line="600" w:lineRule="exact"/>
        <w:rPr>
          <w:sz w:val="36"/>
        </w:rPr>
      </w:pPr>
    </w:p>
    <w:p>
      <w:pPr>
        <w:spacing w:line="600" w:lineRule="exact"/>
        <w:rPr>
          <w:sz w:val="36"/>
        </w:rPr>
      </w:pPr>
    </w:p>
    <w:p>
      <w:pPr>
        <w:spacing w:line="1000" w:lineRule="exact"/>
        <w:rPr>
          <w:bCs/>
          <w:sz w:val="32"/>
          <w:szCs w:val="32"/>
          <w:u w:val="single"/>
        </w:rPr>
      </w:pPr>
      <w:r>
        <w:rPr>
          <w:rFonts w:hint="eastAsia"/>
          <w:sz w:val="36"/>
        </w:rPr>
        <w:t xml:space="preserve">    </w:t>
      </w:r>
      <w:r>
        <w:rPr>
          <w:rFonts w:hint="eastAsia"/>
          <w:b/>
          <w:bCs/>
          <w:sz w:val="32"/>
          <w:szCs w:val="32"/>
        </w:rPr>
        <w:t xml:space="preserve"> 自评单位：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>邵阳县蔡桥乡人民政府</w:t>
      </w:r>
      <w:r>
        <w:rPr>
          <w:rFonts w:hint="eastAsia"/>
          <w:bCs/>
          <w:sz w:val="32"/>
          <w:szCs w:val="32"/>
        </w:rPr>
        <w:t>（单位公章）</w:t>
      </w: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  <w:jc w:val="center"/>
        <w:rPr>
          <w:rFonts w:ascii="楷体" w:hAnsi="楷体" w:eastAsia="楷体" w:cs="楷体"/>
          <w:sz w:val="36"/>
        </w:rPr>
      </w:pPr>
      <w:r>
        <w:rPr>
          <w:rFonts w:hint="eastAsia" w:ascii="楷体" w:hAnsi="楷体" w:eastAsia="楷体" w:cs="楷体"/>
          <w:sz w:val="36"/>
        </w:rPr>
        <w:t>日期：</w:t>
      </w:r>
      <w:r>
        <w:rPr>
          <w:rFonts w:hint="eastAsia" w:ascii="楷体" w:hAnsi="楷体" w:eastAsia="楷体" w:cs="楷体"/>
          <w:sz w:val="36"/>
          <w:lang w:val="en-US" w:eastAsia="zh-CN"/>
        </w:rPr>
        <w:t>2024</w:t>
      </w:r>
      <w:r>
        <w:rPr>
          <w:rFonts w:hint="eastAsia" w:ascii="楷体" w:hAnsi="楷体" w:eastAsia="楷体" w:cs="楷体"/>
          <w:sz w:val="36"/>
        </w:rPr>
        <w:t>年</w:t>
      </w:r>
      <w:r>
        <w:rPr>
          <w:rFonts w:hint="eastAsia" w:ascii="楷体" w:hAnsi="楷体" w:eastAsia="楷体" w:cs="楷体"/>
          <w:sz w:val="36"/>
          <w:lang w:val="en-US" w:eastAsia="zh-CN"/>
        </w:rPr>
        <w:t>7</w:t>
      </w:r>
      <w:r>
        <w:rPr>
          <w:rFonts w:hint="eastAsia" w:ascii="楷体" w:hAnsi="楷体" w:eastAsia="楷体" w:cs="楷体"/>
          <w:sz w:val="36"/>
        </w:rPr>
        <w:t>月</w:t>
      </w:r>
      <w:r>
        <w:rPr>
          <w:rFonts w:hint="eastAsia" w:ascii="楷体" w:hAnsi="楷体" w:eastAsia="楷体" w:cs="楷体"/>
          <w:sz w:val="36"/>
          <w:lang w:val="en-US" w:eastAsia="zh-CN"/>
        </w:rPr>
        <w:t>15</w:t>
      </w:r>
      <w:r>
        <w:rPr>
          <w:rFonts w:hint="eastAsia" w:ascii="楷体" w:hAnsi="楷体" w:eastAsia="楷体" w:cs="楷体"/>
          <w:sz w:val="36"/>
        </w:rPr>
        <w:t>日</w:t>
      </w:r>
    </w:p>
    <w:p>
      <w:pPr>
        <w:spacing w:line="600" w:lineRule="exact"/>
        <w:rPr>
          <w:rFonts w:eastAsia="仿宋_GB2312"/>
          <w:sz w:val="28"/>
          <w:szCs w:val="28"/>
        </w:rPr>
      </w:pPr>
    </w:p>
    <w:p>
      <w:pPr>
        <w:pStyle w:val="2"/>
      </w:pPr>
    </w:p>
    <w:p>
      <w:pPr>
        <w:adjustRightInd w:val="0"/>
        <w:spacing w:line="600" w:lineRule="exact"/>
        <w:ind w:right="641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eastAsia="方正小标宋_GBK"/>
          <w:sz w:val="36"/>
          <w:szCs w:val="36"/>
        </w:rPr>
        <w:t xml:space="preserve"> </w:t>
      </w:r>
      <w:r>
        <w:rPr>
          <w:rFonts w:hint="eastAsia" w:ascii="黑体" w:eastAsia="黑体"/>
          <w:sz w:val="44"/>
          <w:szCs w:val="44"/>
          <w:lang w:eastAsia="zh-CN"/>
        </w:rPr>
        <w:t>蔡桥乡</w:t>
      </w:r>
      <w:r>
        <w:rPr>
          <w:rFonts w:hint="eastAsia" w:ascii="黑体" w:eastAsia="黑体"/>
          <w:sz w:val="44"/>
          <w:szCs w:val="44"/>
        </w:rPr>
        <w:t>人民政府</w:t>
      </w:r>
      <w:r>
        <w:rPr>
          <w:rFonts w:hint="eastAsia" w:ascii="黑体" w:eastAsia="黑体"/>
          <w:sz w:val="44"/>
          <w:szCs w:val="44"/>
          <w:lang w:eastAsia="zh-CN"/>
        </w:rPr>
        <w:t>2023</w:t>
      </w:r>
      <w:r>
        <w:rPr>
          <w:rFonts w:hint="eastAsia" w:ascii="黑体" w:eastAsia="黑体"/>
          <w:sz w:val="44"/>
          <w:szCs w:val="44"/>
        </w:rPr>
        <w:t>年整体支出</w:t>
      </w: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绩效自评报告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为加强财政资金管理，切实提高资金使用效益，进一步提高财务科学精细化管理水平。根据《邵阳县财政局关于做好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年度部门整体支出绩效自评工作的通知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的要求，现将我单位整体支出绩效自评报告如下：</w:t>
      </w:r>
    </w:p>
    <w:p>
      <w:pPr>
        <w:numPr>
          <w:ilvl w:val="0"/>
          <w:numId w:val="1"/>
        </w:numPr>
        <w:ind w:firstLine="617" w:firstLineChars="19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部门概况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邵阳县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蔡桥乡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人民政府共有编制人数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76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人，实有人数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81</w:t>
      </w:r>
      <w:r>
        <w:rPr>
          <w:rFonts w:hint="eastAsia" w:ascii="仿宋_GB2312" w:hAnsi="Times New Roman" w:eastAsia="仿宋_GB2312" w:cs="Times New Roman"/>
          <w:sz w:val="32"/>
          <w:szCs w:val="32"/>
        </w:rPr>
        <w:t>人。内设股室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个，即：党政综合办公室、基层党建办公室、经济发展办公室、社会事务办公室、社会治安和应急管理办公室;设置1个执法机构，即：综合行政执法大队;设置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个直属事业单位，即：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政务和</w:t>
      </w:r>
      <w:r>
        <w:rPr>
          <w:rFonts w:hint="eastAsia" w:ascii="仿宋_GB2312" w:hAnsi="Times New Roman" w:eastAsia="仿宋_GB2312" w:cs="Times New Roman"/>
          <w:sz w:val="32"/>
          <w:szCs w:val="32"/>
        </w:rPr>
        <w:t>社会事务综合服务中心、农业综合服务中心、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自然资源和村镇建设事务中心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生态环境事务中心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退役军人服务站。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部门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主要职责有：1.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宣传和贯彻执行党的路线方针政策和法律法规；制定地方经济社会发展规划和年度计划并组织实施；坚持依法行政，推进民主政治，加强基层政权建设；做好农业、农村、农民和社区工作。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落实基层管党治党工作责任制，加强党员队伍的思想建设、组织建设、作风建设、制度建设和党风廉政建设；做好党员管理、发展工作，改善党员队伍结构，提高党员素质；加强党对意识形态和统一战线工作的领导；指导工会、共青团、妇联等群团工作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规范经济管理，组织指导经济发展和经济结构调整；加强综合生产能力建设；健全社会化服务体系，完善产业支持保护体系，推进产业现代化；着力提升经济发展的质量和水平，发展壮大村级集体经济，增加村（居）民收入，不断提高人民生活水平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加强社会管理和基础设施建设，创造良好环境，推进政务、村（居）务公开；抓好卫生健康工作，保障妇女儿童合法权益；加强自然资源管理、生态环境保护和修复等工作；加强人民武装、民族宗教等工作；强化安全生产和公共安全，组织抢险教灾、优抚救助，及时上报和处置重大社情、疫情、险情等，保护人民群众的生命财产安全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发展公益事业，强化公共服务。填好公共设施建设，开展社会保障服务，着力解决群众生产生活中的问题；发展科教文卫事业，促进精神文明建设；制订公共服务事项目录清单，加强公共服务体系建设。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加强综合治理，维护社会稳定。调解民事纠纷、化解社会矛盾，接待上访群众，处理群体性突发事件，保证社会公正，维护社会秩序和社会稳定。指导村（居）民自治，推动基层社会建设，促进社会组织健康发展，增强社会自治功能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按照管理权限，负责机关和事业单位工作人员的教育、培养、选拔和监督工作。协助管理好派驻单位人员。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8.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行使《中华人民共和国地方各级人民代表大会和地方各级人民政府组织法》等法律法规赋予的职权。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依法依规承担下放的经济社会管理权限和行政执法事项。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10.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承办上级政府交办的其他事项。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部门整体支出规模及使用情况.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（一）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2023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年预算执行情况</w:t>
      </w:r>
    </w:p>
    <w:p>
      <w:pPr>
        <w:pStyle w:val="2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2023年本部门收入预算1138</w:t>
      </w:r>
      <w:r>
        <w:rPr>
          <w:rFonts w:hint="eastAsia" w:hAnsi="Times New Roman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39万元，其中，一般公共预算拨款1138</w:t>
      </w:r>
      <w:r>
        <w:rPr>
          <w:rFonts w:hint="eastAsia" w:hAnsi="Times New Roman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39万元，政府性基金预算拨款0万元。</w:t>
      </w:r>
    </w:p>
    <w:p>
      <w:pPr>
        <w:numPr>
          <w:ilvl w:val="0"/>
          <w:numId w:val="3"/>
        </w:num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基本支出使用管理情况.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2" w:afterAutospacing="0"/>
        <w:ind w:left="0" w:right="0" w:firstLine="641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</w:rPr>
        <w:t>年度财政拨款基本支出</w:t>
      </w: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2300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7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</w:rPr>
        <w:t>万元，其中：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2" w:afterAutospacing="0"/>
        <w:ind w:left="0" w:right="0" w:firstLine="641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人员经费811.56万元，占基本支出的35.27%，主要包括：基本工资、津贴补贴、奖金、伙食补助费、绩效工资、机关事业单位基本养老保险缴费、职业年金缴费、职工基本医疗保险缴费、其他社会保障缴费、住房公积金、其他工资福利支出、抚恤金、生活补助、救济费、医疗费补助、代缴社会保险费、其他对个人和家庭的补助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2" w:afterAutospacing="0"/>
        <w:ind w:left="0" w:right="0" w:firstLine="641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公用经费735.75万元，占基本支出的31.98%，主要包括：办公设备购置、办公费、印刷费、咨询费、手续费、水费、电费、邮电费、差旅费、维修（护）费、租赁费、培训费、公务接待费、劳务费、委托业务费、工会经费、福利费、其他交通费用、其他商品和服务支出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2" w:afterAutospacing="0"/>
        <w:ind w:left="0" w:right="0" w:firstLine="641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基本项目支出753.45万元，占基本支出的32.75%，主要包括：环境卫生同治、美丽乡村（庭院）的建设、耕地恢复、旱改水项目、财政所转拨到村账乡代管办的各类小项目资金。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年度我单位三公经费总支出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万元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公务用车运行维护费为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</w:t>
      </w:r>
      <w:r>
        <w:rPr>
          <w:rFonts w:hint="eastAsia" w:ascii="仿宋" w:hAnsi="仿宋" w:eastAsia="仿宋" w:cs="仿宋"/>
          <w:sz w:val="32"/>
          <w:szCs w:val="32"/>
        </w:rPr>
        <w:t>元，公务接待费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，因公出国（境）费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0万元。（说明：公务接待为节约成本均在政府食堂开餐，故未单列</w:t>
      </w:r>
      <w:r>
        <w:rPr>
          <w:rFonts w:hint="eastAsia" w:ascii="仿宋" w:hAnsi="仿宋" w:eastAsia="仿宋" w:cs="仿宋"/>
          <w:sz w:val="32"/>
          <w:szCs w:val="32"/>
        </w:rPr>
        <w:t>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（三）专项支出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蔡桥乡</w:t>
      </w:r>
      <w:bookmarkStart w:id="4" w:name="_GoBack"/>
      <w:bookmarkEnd w:id="4"/>
      <w:r>
        <w:rPr>
          <w:rFonts w:hint="eastAsia" w:ascii="仿宋" w:hAnsi="仿宋" w:eastAsia="仿宋" w:cs="仿宋"/>
          <w:sz w:val="32"/>
          <w:szCs w:val="32"/>
          <w:lang w:eastAsia="zh-CN"/>
        </w:rPr>
        <w:t>人民政府没有专项支出。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绩效评价工作情况</w:t>
      </w:r>
    </w:p>
    <w:p>
      <w:pPr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根据《邵阳县财政局关于开展2023年度部门整体支出绩效自评和专项项目资金绩效评价工作的通知》，邵阳县蔡桥乡人民政府成立了绩效评价工作领导小组，负责绩效评价工作的组织领导和具体实施。评价小组采取座谈等方式听取情况，检查基本支出、项目支出有关账目，收集整理支出相关资料，并根据各部门报送的绩效自评材料进行分析，形成评价结论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四、综合评价结果</w:t>
      </w:r>
    </w:p>
    <w:p>
      <w:pPr>
        <w:ind w:firstLine="64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根据《部门整体支出绩效评价指标》规定的内容，经综合评价，</w:t>
      </w:r>
      <w:r>
        <w:rPr>
          <w:rFonts w:hint="eastAsia" w:ascii="仿宋_GB2312" w:eastAsia="仿宋_GB2312"/>
          <w:sz w:val="32"/>
          <w:szCs w:val="32"/>
          <w:lang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年度整体支出绩效评为“良好”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numPr>
          <w:ilvl w:val="0"/>
          <w:numId w:val="4"/>
        </w:num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部门整体支出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主要绩效</w:t>
      </w:r>
    </w:p>
    <w:tbl>
      <w:tblPr>
        <w:tblStyle w:val="8"/>
        <w:tblW w:w="108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2060"/>
        <w:gridCol w:w="2860"/>
        <w:gridCol w:w="18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1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产出指标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数量指标</w:t>
            </w:r>
          </w:p>
        </w:tc>
        <w:tc>
          <w:tcPr>
            <w:tcW w:w="28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单位实有人数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81人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0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质量指标</w:t>
            </w:r>
          </w:p>
        </w:tc>
        <w:tc>
          <w:tcPr>
            <w:tcW w:w="28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工资发放率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5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0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成本指标</w:t>
            </w:r>
          </w:p>
        </w:tc>
        <w:tc>
          <w:tcPr>
            <w:tcW w:w="28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工资福利支出及公用经费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1547.31万元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251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效益指标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经济及社会效益</w:t>
            </w:r>
          </w:p>
        </w:tc>
        <w:tc>
          <w:tcPr>
            <w:tcW w:w="28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发展农村经济、改善民生、改善农村人居环境及社会和谐稳定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促进经济发展、民生改善、环境改善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25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</w:p>
        </w:tc>
        <w:tc>
          <w:tcPr>
            <w:tcW w:w="20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社会公众或服务对象满意度</w:t>
            </w:r>
          </w:p>
        </w:tc>
        <w:tc>
          <w:tcPr>
            <w:tcW w:w="28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 w:cs="黑体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服务对象对单位的满意程度</w:t>
            </w:r>
          </w:p>
        </w:tc>
        <w:tc>
          <w:tcPr>
            <w:tcW w:w="18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98.8%</w:t>
            </w:r>
          </w:p>
        </w:tc>
      </w:tr>
    </w:tbl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六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、存在的问题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firstLine="472" w:firstLineChars="147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bookmarkStart w:id="0" w:name="_Toc390113229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固定资产管理有待加强</w:t>
      </w:r>
      <w:bookmarkEnd w:id="0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因固定资产种类繁多，规格不一，虽然配备了专人管理，但还是存在已处理与新增的资产未及时登录入台账的现象，也未建立卡片进行管理，年终前未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按时</w:t>
      </w:r>
      <w:r>
        <w:rPr>
          <w:rFonts w:hint="eastAsia" w:ascii="仿宋_GB2312" w:hAnsi="仿宋_GB2312" w:eastAsia="仿宋_GB2312" w:cs="仿宋_GB2312"/>
          <w:sz w:val="32"/>
          <w:szCs w:val="32"/>
        </w:rPr>
        <w:t>对固定资产进行全面清点。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firstLine="472" w:firstLineChars="147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bookmarkStart w:id="1" w:name="_Toc39011323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）管理制度欠完善</w:t>
      </w:r>
      <w:bookmarkEnd w:id="1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虽然制定了《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蔡桥乡财务管理制度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》，针对“三公”经费的管理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按照县委办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关于进一步规范和加强机关事务接待工作的通知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》，但未制定专门的会议管理制度，不便于对会议费支出规范管理。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七、</w:t>
      </w:r>
      <w:r>
        <w:rPr>
          <w:rFonts w:hint="eastAsia" w:eastAsia="黑体"/>
          <w:sz w:val="32"/>
          <w:szCs w:val="32"/>
        </w:rPr>
        <w:t>改进措施和有关建议</w:t>
      </w:r>
      <w:bookmarkStart w:id="2" w:name="_Toc390113235"/>
    </w:p>
    <w:p>
      <w:pPr>
        <w:numPr>
          <w:ilvl w:val="0"/>
          <w:numId w:val="5"/>
        </w:numPr>
        <w:adjustRightInd w:val="0"/>
        <w:snapToGrid w:val="0"/>
        <w:spacing w:line="600" w:lineRule="exact"/>
        <w:ind w:left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加强资产管理</w:t>
      </w:r>
      <w:bookmarkEnd w:id="2"/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严格按照《固定资产管理办法》的规定管理固定资产，及时登记台账，并建立卡片管理，年终前对各类实物资产进行全面盘点，确保账账、账实相符。</w:t>
      </w:r>
      <w:bookmarkStart w:id="3" w:name="_Toc390113236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firstLine="472" w:firstLineChars="147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）完善管理制度</w:t>
      </w:r>
      <w:bookmarkEnd w:id="3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进一步贯彻落实中央“八项规定”和湖南省委“九条规定”，建立会议费管理制度，加强会议审批和控制，规范支出标准与范围，并严格执行。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5" w:h="16837"/>
      <w:pgMar w:top="1417" w:right="1417" w:bottom="1417" w:left="1417" w:header="0" w:footer="0" w:gutter="0"/>
      <w:pgNumType w:start="1"/>
      <w:cols w:space="0" w:num="1"/>
      <w:rtlGutter w:val="0"/>
      <w:docGrid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D37D5"/>
    <w:multiLevelType w:val="singleLevel"/>
    <w:tmpl w:val="B13D37D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C39B20"/>
    <w:multiLevelType w:val="singleLevel"/>
    <w:tmpl w:val="DEC39B2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5D2FD16"/>
    <w:multiLevelType w:val="singleLevel"/>
    <w:tmpl w:val="E5D2FD16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04C207ED"/>
    <w:multiLevelType w:val="singleLevel"/>
    <w:tmpl w:val="04C207E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A884D4A"/>
    <w:multiLevelType w:val="singleLevel"/>
    <w:tmpl w:val="6A884D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6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iN2E0NDU4NTE1M2MwMmJhYzdiZGI4YzMzY2ZmZjQifQ=="/>
    <w:docVar w:name="KSO_WPS_MARK_KEY" w:val="e515f264-5373-4e9c-b964-322b16ca0ea5"/>
  </w:docVars>
  <w:rsids>
    <w:rsidRoot w:val="00000000"/>
    <w:rsid w:val="05924D4E"/>
    <w:rsid w:val="05A52CD4"/>
    <w:rsid w:val="06A05249"/>
    <w:rsid w:val="08DB6A0C"/>
    <w:rsid w:val="10C2298C"/>
    <w:rsid w:val="150C1BA5"/>
    <w:rsid w:val="15270331"/>
    <w:rsid w:val="1637704C"/>
    <w:rsid w:val="18DF0352"/>
    <w:rsid w:val="1AA94BBC"/>
    <w:rsid w:val="1B040045"/>
    <w:rsid w:val="1CB87AB1"/>
    <w:rsid w:val="1D907783"/>
    <w:rsid w:val="1FBC6811"/>
    <w:rsid w:val="21845A3B"/>
    <w:rsid w:val="220D5A31"/>
    <w:rsid w:val="227B0BEC"/>
    <w:rsid w:val="232A616E"/>
    <w:rsid w:val="238D507B"/>
    <w:rsid w:val="250A26FB"/>
    <w:rsid w:val="25DA4D4D"/>
    <w:rsid w:val="28447E70"/>
    <w:rsid w:val="2B65243A"/>
    <w:rsid w:val="2E4647A4"/>
    <w:rsid w:val="31B5579D"/>
    <w:rsid w:val="35781E78"/>
    <w:rsid w:val="35944047"/>
    <w:rsid w:val="35D00DF7"/>
    <w:rsid w:val="39F03816"/>
    <w:rsid w:val="3D532A3A"/>
    <w:rsid w:val="3F0A537A"/>
    <w:rsid w:val="426C3C56"/>
    <w:rsid w:val="4A4A638E"/>
    <w:rsid w:val="4B6422B6"/>
    <w:rsid w:val="4DDE1EAC"/>
    <w:rsid w:val="4F5D1EBB"/>
    <w:rsid w:val="50016325"/>
    <w:rsid w:val="50DB0924"/>
    <w:rsid w:val="54931516"/>
    <w:rsid w:val="5D1C479E"/>
    <w:rsid w:val="5E9D190F"/>
    <w:rsid w:val="5FCC24AC"/>
    <w:rsid w:val="60AB62E2"/>
    <w:rsid w:val="624A3B5C"/>
    <w:rsid w:val="64E70647"/>
    <w:rsid w:val="68536272"/>
    <w:rsid w:val="6A5D1F52"/>
    <w:rsid w:val="6BA01D4B"/>
    <w:rsid w:val="70A628A5"/>
    <w:rsid w:val="71445C1A"/>
    <w:rsid w:val="72181581"/>
    <w:rsid w:val="743E2DF5"/>
    <w:rsid w:val="7513602F"/>
    <w:rsid w:val="7566172F"/>
    <w:rsid w:val="76277FE4"/>
    <w:rsid w:val="76A01A54"/>
    <w:rsid w:val="76FF2D0F"/>
    <w:rsid w:val="785E1CB7"/>
    <w:rsid w:val="78D14237"/>
    <w:rsid w:val="79C45B4A"/>
    <w:rsid w:val="7AB756AF"/>
    <w:rsid w:val="7D8C4BD1"/>
    <w:rsid w:val="7D9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40"/>
    </w:pPr>
    <w:rPr>
      <w:rFonts w:ascii="仿宋_GB2312" w:eastAsia="仿宋_GB2312"/>
      <w:bCs/>
      <w:sz w:val="32"/>
      <w:szCs w:val="32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eastAsia="宋体"/>
      <w:sz w:val="24"/>
    </w:rPr>
  </w:style>
  <w:style w:type="character" w:customStyle="1" w:styleId="13">
    <w:name w:val="页脚 Char"/>
    <w:basedOn w:val="10"/>
    <w:link w:val="5"/>
    <w:qFormat/>
    <w:uiPriority w:val="99"/>
    <w:rPr>
      <w:kern w:val="2"/>
      <w:sz w:val="18"/>
      <w:szCs w:val="18"/>
    </w:rPr>
  </w:style>
  <w:style w:type="character" w:customStyle="1" w:styleId="14">
    <w:name w:val="font4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5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7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8">
    <w:name w:val="font1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8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5</Pages>
  <Words>2445</Words>
  <Characters>2560</Characters>
  <Paragraphs>866</Paragraphs>
  <TotalTime>0</TotalTime>
  <ScaleCrop>false</ScaleCrop>
  <LinksUpToDate>false</LinksUpToDate>
  <CharactersWithSpaces>2571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2022-12-30T00:27:00Z</dcterms:created>
  <dc:creator>何阳之</dc:creator>
  <cp:lastModifiedBy>Nice</cp:lastModifiedBy>
  <cp:lastPrinted>2024-02-29T01:34:00Z</cp:lastPrinted>
  <dcterms:modified xsi:type="dcterms:W3CDTF">2024-07-20T02:39:19Z</dcterms:modified>
  <dc:title>湖南省财政厅文件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B79B284F050347C8BF661A836D12526C_12</vt:lpwstr>
  </property>
</Properties>
</file>