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652C5">
      <w:pPr>
        <w:spacing w:line="256" w:lineRule="auto"/>
        <w:rPr>
          <w:rFonts w:ascii="Arial"/>
          <w:sz w:val="21"/>
        </w:rPr>
      </w:pPr>
    </w:p>
    <w:p w14:paraId="10F33A80">
      <w:pPr>
        <w:spacing w:line="256" w:lineRule="auto"/>
        <w:rPr>
          <w:rFonts w:ascii="Arial"/>
          <w:sz w:val="21"/>
        </w:rPr>
      </w:pPr>
    </w:p>
    <w:p w14:paraId="17311B89">
      <w:pPr>
        <w:spacing w:line="256" w:lineRule="auto"/>
        <w:rPr>
          <w:rFonts w:ascii="Arial"/>
          <w:sz w:val="21"/>
        </w:rPr>
      </w:pPr>
    </w:p>
    <w:p w14:paraId="13A41F8E">
      <w:pPr>
        <w:spacing w:line="257" w:lineRule="auto"/>
        <w:rPr>
          <w:rFonts w:ascii="Arial"/>
          <w:sz w:val="21"/>
        </w:rPr>
      </w:pPr>
    </w:p>
    <w:p w14:paraId="4B92043F">
      <w:pPr>
        <w:spacing w:line="257" w:lineRule="auto"/>
        <w:rPr>
          <w:rFonts w:ascii="Arial"/>
          <w:sz w:val="21"/>
        </w:rPr>
      </w:pPr>
    </w:p>
    <w:p w14:paraId="698D2FBA">
      <w:pPr>
        <w:spacing w:line="257" w:lineRule="auto"/>
        <w:rPr>
          <w:rFonts w:ascii="Arial"/>
          <w:sz w:val="21"/>
        </w:rPr>
      </w:pPr>
    </w:p>
    <w:p w14:paraId="5BA6B498">
      <w:pPr>
        <w:spacing w:line="257" w:lineRule="auto"/>
        <w:rPr>
          <w:rFonts w:ascii="Arial"/>
          <w:sz w:val="21"/>
        </w:rPr>
      </w:pPr>
    </w:p>
    <w:p w14:paraId="7BD3700E">
      <w:pPr>
        <w:spacing w:line="257" w:lineRule="auto"/>
        <w:rPr>
          <w:rFonts w:ascii="Arial"/>
          <w:sz w:val="21"/>
        </w:rPr>
      </w:pPr>
    </w:p>
    <w:p w14:paraId="4FC98F9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宋体" w:hAnsi="宋体" w:eastAsia="宋体" w:cs="宋体"/>
          <w:sz w:val="44"/>
          <w:szCs w:val="44"/>
        </w:rPr>
      </w:pPr>
      <w:r>
        <w:rPr>
          <w:rFonts w:ascii="宋体" w:hAnsi="宋体" w:eastAsia="宋体" w:cs="宋体"/>
          <w:b/>
          <w:bCs/>
          <w:spacing w:val="-11"/>
          <w:sz w:val="44"/>
          <w:szCs w:val="44"/>
        </w:rPr>
        <w:t>邵阳县2023年度部门整体支出绩效自评报告</w:t>
      </w:r>
    </w:p>
    <w:p w14:paraId="0C6BFE8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宋体" w:hAnsi="宋体" w:eastAsia="宋体" w:cs="宋体"/>
          <w:sz w:val="44"/>
          <w:szCs w:val="44"/>
        </w:rPr>
      </w:pPr>
      <w:r>
        <w:rPr>
          <w:rFonts w:ascii="宋体" w:hAnsi="宋体" w:eastAsia="宋体" w:cs="宋体"/>
          <w:b/>
          <w:bCs/>
          <w:spacing w:val="11"/>
          <w:sz w:val="44"/>
          <w:szCs w:val="44"/>
        </w:rPr>
        <w:t>(封面)</w:t>
      </w:r>
    </w:p>
    <w:p w14:paraId="569C866B">
      <w:pPr>
        <w:spacing w:line="242" w:lineRule="auto"/>
        <w:rPr>
          <w:rFonts w:ascii="Arial"/>
          <w:sz w:val="21"/>
        </w:rPr>
      </w:pPr>
    </w:p>
    <w:p w14:paraId="73B87EDB">
      <w:pPr>
        <w:spacing w:line="243" w:lineRule="auto"/>
        <w:rPr>
          <w:rFonts w:ascii="Arial"/>
          <w:sz w:val="21"/>
        </w:rPr>
      </w:pPr>
    </w:p>
    <w:p w14:paraId="38D23E2E">
      <w:pPr>
        <w:spacing w:line="243" w:lineRule="auto"/>
        <w:rPr>
          <w:rFonts w:ascii="Arial"/>
          <w:sz w:val="21"/>
        </w:rPr>
      </w:pPr>
    </w:p>
    <w:p w14:paraId="0CD9CA61">
      <w:pPr>
        <w:spacing w:line="243" w:lineRule="auto"/>
        <w:rPr>
          <w:rFonts w:ascii="Arial"/>
          <w:sz w:val="21"/>
        </w:rPr>
      </w:pPr>
    </w:p>
    <w:p w14:paraId="358525AF">
      <w:pPr>
        <w:spacing w:line="243" w:lineRule="auto"/>
        <w:rPr>
          <w:rFonts w:ascii="Arial"/>
          <w:sz w:val="21"/>
        </w:rPr>
      </w:pPr>
    </w:p>
    <w:p w14:paraId="64678CE1">
      <w:pPr>
        <w:spacing w:line="243" w:lineRule="auto"/>
        <w:rPr>
          <w:rFonts w:ascii="Arial"/>
          <w:sz w:val="21"/>
        </w:rPr>
      </w:pPr>
    </w:p>
    <w:p w14:paraId="73904141">
      <w:pPr>
        <w:spacing w:line="243" w:lineRule="auto"/>
        <w:rPr>
          <w:rFonts w:ascii="Arial"/>
          <w:sz w:val="21"/>
        </w:rPr>
      </w:pPr>
    </w:p>
    <w:p w14:paraId="1612A944">
      <w:pPr>
        <w:spacing w:line="243" w:lineRule="auto"/>
        <w:rPr>
          <w:rFonts w:ascii="Arial"/>
          <w:sz w:val="21"/>
        </w:rPr>
      </w:pPr>
    </w:p>
    <w:p w14:paraId="63DB3E03">
      <w:pPr>
        <w:spacing w:line="243" w:lineRule="auto"/>
        <w:rPr>
          <w:rFonts w:ascii="Arial"/>
          <w:sz w:val="21"/>
        </w:rPr>
      </w:pPr>
    </w:p>
    <w:p w14:paraId="17048B55">
      <w:pPr>
        <w:spacing w:line="243" w:lineRule="auto"/>
        <w:rPr>
          <w:rFonts w:ascii="Arial"/>
          <w:sz w:val="21"/>
        </w:rPr>
      </w:pPr>
    </w:p>
    <w:p w14:paraId="0673C964">
      <w:pPr>
        <w:spacing w:line="243" w:lineRule="auto"/>
        <w:rPr>
          <w:rFonts w:ascii="Arial"/>
          <w:sz w:val="21"/>
        </w:rPr>
      </w:pPr>
    </w:p>
    <w:p w14:paraId="516268C1">
      <w:pPr>
        <w:spacing w:line="243" w:lineRule="auto"/>
        <w:rPr>
          <w:rFonts w:ascii="Arial"/>
          <w:sz w:val="21"/>
        </w:rPr>
      </w:pPr>
    </w:p>
    <w:p w14:paraId="6407A7F3">
      <w:pPr>
        <w:spacing w:line="243" w:lineRule="auto"/>
        <w:rPr>
          <w:rFonts w:ascii="Arial"/>
          <w:sz w:val="21"/>
        </w:rPr>
      </w:pPr>
    </w:p>
    <w:p w14:paraId="61455ACE">
      <w:pPr>
        <w:spacing w:line="243" w:lineRule="auto"/>
        <w:rPr>
          <w:rFonts w:ascii="Arial"/>
          <w:sz w:val="21"/>
        </w:rPr>
      </w:pPr>
    </w:p>
    <w:p w14:paraId="6A721EC5">
      <w:pPr>
        <w:spacing w:line="243" w:lineRule="auto"/>
        <w:rPr>
          <w:rFonts w:ascii="Arial"/>
          <w:sz w:val="21"/>
        </w:rPr>
      </w:pPr>
    </w:p>
    <w:p w14:paraId="5364A85E">
      <w:pPr>
        <w:spacing w:line="243" w:lineRule="auto"/>
        <w:rPr>
          <w:rFonts w:ascii="Arial"/>
          <w:sz w:val="21"/>
        </w:rPr>
      </w:pPr>
    </w:p>
    <w:p w14:paraId="0F71A184">
      <w:pPr>
        <w:spacing w:line="243" w:lineRule="auto"/>
        <w:rPr>
          <w:rFonts w:ascii="Arial"/>
          <w:sz w:val="21"/>
        </w:rPr>
      </w:pPr>
    </w:p>
    <w:p w14:paraId="1477DDCE">
      <w:pPr>
        <w:spacing w:line="243" w:lineRule="auto"/>
        <w:rPr>
          <w:rFonts w:ascii="Arial"/>
          <w:sz w:val="21"/>
        </w:rPr>
      </w:pPr>
    </w:p>
    <w:p w14:paraId="02307639">
      <w:pPr>
        <w:spacing w:line="243" w:lineRule="auto"/>
        <w:rPr>
          <w:rFonts w:ascii="Arial"/>
          <w:sz w:val="21"/>
        </w:rPr>
      </w:pPr>
    </w:p>
    <w:p w14:paraId="58970EBA">
      <w:pPr>
        <w:spacing w:before="101" w:line="220" w:lineRule="auto"/>
        <w:ind w:left="850"/>
        <w:rPr>
          <w:rFonts w:ascii="宋体" w:hAnsi="宋体" w:eastAsia="宋体" w:cs="宋体"/>
          <w:sz w:val="31"/>
          <w:szCs w:val="31"/>
        </w:rPr>
      </w:pPr>
      <w:r>
        <w:rPr>
          <w:rFonts w:ascii="宋体" w:hAnsi="宋体" w:eastAsia="宋体" w:cs="宋体"/>
          <w:b/>
          <w:bCs/>
          <w:spacing w:val="3"/>
          <w:sz w:val="31"/>
          <w:szCs w:val="31"/>
        </w:rPr>
        <w:t>自评单位：</w:t>
      </w:r>
      <w:r>
        <w:rPr>
          <w:rFonts w:ascii="宋体" w:hAnsi="宋体" w:eastAsia="宋体" w:cs="宋体"/>
          <w:spacing w:val="3"/>
          <w:sz w:val="31"/>
          <w:szCs w:val="31"/>
          <w:u w:val="single" w:color="auto"/>
        </w:rPr>
        <w:t xml:space="preserve"> </w:t>
      </w:r>
      <w:r>
        <w:rPr>
          <w:rFonts w:hint="eastAsia" w:ascii="宋体" w:hAnsi="宋体" w:eastAsia="宋体" w:cs="宋体"/>
          <w:spacing w:val="3"/>
          <w:sz w:val="31"/>
          <w:szCs w:val="31"/>
          <w:u w:val="single" w:color="auto"/>
          <w:lang w:val="en-US" w:eastAsia="zh-CN"/>
        </w:rPr>
        <w:t xml:space="preserve">  邵阳县财政局     </w:t>
      </w:r>
      <w:r>
        <w:rPr>
          <w:rFonts w:ascii="宋体" w:hAnsi="宋体" w:eastAsia="宋体" w:cs="宋体"/>
          <w:b/>
          <w:bCs/>
          <w:spacing w:val="2"/>
          <w:sz w:val="31"/>
          <w:szCs w:val="31"/>
        </w:rPr>
        <w:t>(单位公章)</w:t>
      </w:r>
    </w:p>
    <w:p w14:paraId="1EA86355">
      <w:pPr>
        <w:spacing w:line="250" w:lineRule="auto"/>
        <w:rPr>
          <w:rFonts w:ascii="Arial"/>
          <w:sz w:val="21"/>
        </w:rPr>
      </w:pPr>
    </w:p>
    <w:p w14:paraId="78CF2CB8">
      <w:pPr>
        <w:spacing w:line="251" w:lineRule="auto"/>
        <w:rPr>
          <w:rFonts w:ascii="Arial"/>
          <w:sz w:val="21"/>
        </w:rPr>
      </w:pPr>
    </w:p>
    <w:p w14:paraId="357C385C">
      <w:pPr>
        <w:spacing w:line="251" w:lineRule="auto"/>
        <w:rPr>
          <w:rFonts w:ascii="Arial"/>
          <w:sz w:val="21"/>
        </w:rPr>
      </w:pPr>
    </w:p>
    <w:p w14:paraId="28E3D6AD">
      <w:pPr>
        <w:spacing w:line="251" w:lineRule="auto"/>
        <w:rPr>
          <w:rFonts w:ascii="Arial"/>
          <w:sz w:val="21"/>
        </w:rPr>
      </w:pPr>
    </w:p>
    <w:p w14:paraId="09E41F5B">
      <w:pPr>
        <w:spacing w:line="251" w:lineRule="auto"/>
        <w:rPr>
          <w:rFonts w:ascii="Arial"/>
          <w:sz w:val="21"/>
        </w:rPr>
      </w:pPr>
    </w:p>
    <w:p w14:paraId="6135AF37">
      <w:pPr>
        <w:spacing w:line="251" w:lineRule="auto"/>
        <w:rPr>
          <w:rFonts w:ascii="Arial"/>
          <w:sz w:val="21"/>
        </w:rPr>
      </w:pPr>
    </w:p>
    <w:p w14:paraId="5DEC3801">
      <w:pPr>
        <w:spacing w:line="251" w:lineRule="auto"/>
        <w:rPr>
          <w:rFonts w:ascii="Arial"/>
          <w:sz w:val="21"/>
        </w:rPr>
      </w:pPr>
    </w:p>
    <w:p w14:paraId="7B30B8AD">
      <w:pPr>
        <w:spacing w:line="251" w:lineRule="auto"/>
        <w:ind w:left="0" w:leftChars="0" w:firstLine="0" w:firstLineChars="0"/>
        <w:rPr>
          <w:rFonts w:ascii="Arial"/>
          <w:sz w:val="21"/>
        </w:rPr>
      </w:pPr>
    </w:p>
    <w:p w14:paraId="61F980B9">
      <w:pPr>
        <w:spacing w:line="251" w:lineRule="auto"/>
        <w:rPr>
          <w:rFonts w:ascii="Arial"/>
          <w:sz w:val="21"/>
        </w:rPr>
      </w:pPr>
    </w:p>
    <w:p w14:paraId="38A124F3">
      <w:pPr>
        <w:spacing w:before="102" w:line="219" w:lineRule="auto"/>
        <w:ind w:left="2360"/>
        <w:rPr>
          <w:rFonts w:ascii="宋体" w:hAnsi="宋体" w:eastAsia="宋体" w:cs="宋体"/>
          <w:b/>
          <w:bCs/>
          <w:spacing w:val="-8"/>
          <w:sz w:val="31"/>
          <w:szCs w:val="31"/>
        </w:rPr>
      </w:pPr>
      <w:r>
        <w:rPr>
          <w:rFonts w:ascii="宋体" w:hAnsi="宋体" w:eastAsia="宋体" w:cs="宋体"/>
          <w:b/>
          <w:bCs/>
          <w:spacing w:val="-8"/>
          <w:sz w:val="31"/>
          <w:szCs w:val="31"/>
        </w:rPr>
        <w:t>日期：</w:t>
      </w:r>
      <w:r>
        <w:rPr>
          <w:rFonts w:hint="eastAsia" w:ascii="宋体" w:hAnsi="宋体" w:eastAsia="宋体" w:cs="宋体"/>
          <w:spacing w:val="31"/>
          <w:sz w:val="31"/>
          <w:szCs w:val="31"/>
          <w:lang w:val="en-US" w:eastAsia="zh-CN"/>
        </w:rPr>
        <w:t>2023</w:t>
      </w:r>
      <w:r>
        <w:rPr>
          <w:rFonts w:ascii="宋体" w:hAnsi="宋体" w:eastAsia="宋体" w:cs="宋体"/>
          <w:spacing w:val="-8"/>
          <w:sz w:val="31"/>
          <w:szCs w:val="31"/>
        </w:rPr>
        <w:t>年</w:t>
      </w:r>
      <w:r>
        <w:rPr>
          <w:rFonts w:hint="eastAsia" w:ascii="宋体" w:hAnsi="宋体" w:eastAsia="宋体" w:cs="宋体"/>
          <w:spacing w:val="24"/>
          <w:sz w:val="31"/>
          <w:szCs w:val="31"/>
          <w:lang w:val="en-US" w:eastAsia="zh-CN"/>
        </w:rPr>
        <w:t>3</w:t>
      </w:r>
      <w:r>
        <w:rPr>
          <w:rFonts w:ascii="宋体" w:hAnsi="宋体" w:eastAsia="宋体" w:cs="宋体"/>
          <w:spacing w:val="-8"/>
          <w:sz w:val="31"/>
          <w:szCs w:val="31"/>
        </w:rPr>
        <w:t>月</w:t>
      </w:r>
      <w:r>
        <w:rPr>
          <w:rFonts w:hint="eastAsia" w:ascii="宋体" w:hAnsi="宋体" w:eastAsia="宋体" w:cs="宋体"/>
          <w:spacing w:val="19"/>
          <w:sz w:val="31"/>
          <w:szCs w:val="31"/>
          <w:lang w:val="en-US" w:eastAsia="zh-CN"/>
        </w:rPr>
        <w:t>12</w:t>
      </w:r>
      <w:r>
        <w:rPr>
          <w:rFonts w:ascii="宋体" w:hAnsi="宋体" w:eastAsia="宋体" w:cs="宋体"/>
          <w:b/>
          <w:bCs/>
          <w:spacing w:val="-8"/>
          <w:sz w:val="31"/>
          <w:szCs w:val="31"/>
        </w:rPr>
        <w:t>日</w:t>
      </w:r>
    </w:p>
    <w:p w14:paraId="57F6A4A8">
      <w:pPr>
        <w:spacing w:before="102" w:line="219" w:lineRule="auto"/>
        <w:rPr>
          <w:rFonts w:ascii="宋体" w:hAnsi="宋体" w:eastAsia="宋体" w:cs="宋体"/>
          <w:b/>
          <w:bCs/>
          <w:spacing w:val="-8"/>
          <w:sz w:val="31"/>
          <w:szCs w:val="31"/>
        </w:rPr>
      </w:pPr>
    </w:p>
    <w:p w14:paraId="39FAF256">
      <w:pPr>
        <w:spacing w:line="219" w:lineRule="auto"/>
        <w:rPr>
          <w:rFonts w:ascii="宋体" w:hAnsi="宋体" w:eastAsia="宋体" w:cs="宋体"/>
          <w:sz w:val="31"/>
          <w:szCs w:val="31"/>
        </w:rPr>
        <w:sectPr>
          <w:headerReference r:id="rId5" w:type="default"/>
          <w:footerReference r:id="rId6" w:type="default"/>
          <w:pgSz w:w="11900" w:h="16820"/>
          <w:pgMar w:top="2098" w:right="1474" w:bottom="1984" w:left="1587" w:header="0" w:footer="0" w:gutter="0"/>
          <w:cols w:space="720" w:num="1"/>
        </w:sectPr>
      </w:pPr>
    </w:p>
    <w:p w14:paraId="0528CA9D">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黑体" w:hAnsi="黑体" w:eastAsia="黑体" w:cs="黑体"/>
          <w:sz w:val="44"/>
          <w:szCs w:val="44"/>
        </w:rPr>
      </w:pPr>
      <w:r>
        <w:rPr>
          <w:rFonts w:hint="eastAsia" w:ascii="黑体" w:hAnsi="黑体" w:eastAsia="黑体" w:cs="黑体"/>
          <w:sz w:val="44"/>
          <w:szCs w:val="44"/>
          <w:lang w:val="en-US" w:eastAsia="zh-CN"/>
        </w:rPr>
        <w:t>邵阳县财政局</w:t>
      </w:r>
      <w:r>
        <w:rPr>
          <w:rFonts w:hint="eastAsia" w:ascii="黑体" w:hAnsi="黑体" w:eastAsia="黑体" w:cs="黑体"/>
          <w:sz w:val="44"/>
          <w:szCs w:val="44"/>
        </w:rPr>
        <w:t>部门整体支出绩效自评报告</w:t>
      </w:r>
    </w:p>
    <w:p w14:paraId="165DA054">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楷体" w:hAnsi="楷体" w:eastAsia="楷体" w:cs="楷体"/>
          <w:sz w:val="32"/>
          <w:szCs w:val="32"/>
        </w:rPr>
      </w:pPr>
    </w:p>
    <w:p w14:paraId="466951B6">
      <w:pPr>
        <w:pStyle w:val="2"/>
        <w:bidi w:val="0"/>
        <w:rPr>
          <w:rFonts w:hint="eastAsia"/>
        </w:rPr>
      </w:pPr>
      <w:r>
        <w:rPr>
          <w:rFonts w:hint="eastAsia"/>
        </w:rPr>
        <w:t>一、部门、单位基本情况</w:t>
      </w:r>
    </w:p>
    <w:p w14:paraId="2050F5BF">
      <w:pPr>
        <w:pStyle w:val="3"/>
        <w:bidi w:val="0"/>
        <w:rPr>
          <w:rFonts w:hint="eastAsia"/>
        </w:rPr>
      </w:pPr>
      <w:r>
        <w:rPr>
          <w:rFonts w:hint="eastAsia"/>
        </w:rPr>
        <w:t>(一)机构设置情况</w:t>
      </w:r>
    </w:p>
    <w:p w14:paraId="7C64E746">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根据中共邵阳县委办公室、邵阳县人民政府办公室《关于印发&lt;邵阳县财政局职能配置、内设机构和人员编制规定&gt;的通知》（邵办文〔2019〕88号）及县委编委的有关文件精神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邵阳县财政局（以下简称“县财政局”）共有21个机构，包括内设机构18个，下设二级机构3个，其中：18个内设机构分别为</w:t>
      </w:r>
      <w:r>
        <w:rPr>
          <w:rFonts w:hint="eastAsia" w:ascii="仿宋" w:hAnsi="仿宋" w:eastAsia="仿宋" w:cs="仿宋"/>
          <w:color w:val="000000"/>
          <w:sz w:val="30"/>
          <w:szCs w:val="30"/>
        </w:rPr>
        <w:t>办公室、法规股、预算股、国库办、行财股、教科文股、经建股、农业股、企业股、社保办、会管股、人事股、监督局、乡财局、国资办、综合股、金融债务股、信息股</w:t>
      </w:r>
      <w:r>
        <w:rPr>
          <w:rFonts w:hint="eastAsia" w:ascii="仿宋" w:hAnsi="仿宋" w:eastAsia="仿宋" w:cs="仿宋"/>
          <w:color w:val="000000"/>
          <w:sz w:val="30"/>
          <w:szCs w:val="30"/>
          <w:lang w:eastAsia="zh-CN"/>
        </w:rPr>
        <w:t>，</w:t>
      </w:r>
      <w:r>
        <w:rPr>
          <w:rFonts w:hint="eastAsia" w:ascii="仿宋" w:hAnsi="仿宋" w:eastAsia="仿宋" w:cs="仿宋"/>
          <w:sz w:val="30"/>
          <w:szCs w:val="30"/>
          <w:lang w:val="en-US" w:eastAsia="zh-CN"/>
        </w:rPr>
        <w:t>3个二级机构分别为</w:t>
      </w:r>
      <w:r>
        <w:rPr>
          <w:rFonts w:hint="default" w:ascii="仿宋" w:hAnsi="仿宋" w:eastAsia="仿宋" w:cs="仿宋"/>
          <w:color w:val="000000"/>
          <w:sz w:val="30"/>
          <w:szCs w:val="30"/>
          <w:lang w:val="en-US" w:eastAsia="zh-CN"/>
        </w:rPr>
        <w:t>县财政事务中心</w:t>
      </w:r>
      <w:r>
        <w:rPr>
          <w:rFonts w:hint="eastAsia" w:ascii="仿宋" w:hAnsi="仿宋" w:eastAsia="仿宋" w:cs="仿宋"/>
          <w:color w:val="000000"/>
          <w:sz w:val="30"/>
          <w:szCs w:val="30"/>
          <w:lang w:val="en-US" w:eastAsia="zh-CN"/>
        </w:rPr>
        <w:t>、国库集中支付中心</w:t>
      </w:r>
      <w:r>
        <w:rPr>
          <w:rFonts w:hint="eastAsia" w:ascii="仿宋" w:hAnsi="仿宋" w:eastAsia="仿宋" w:cs="仿宋"/>
          <w:color w:val="000000"/>
          <w:sz w:val="30"/>
          <w:szCs w:val="30"/>
        </w:rPr>
        <w:t>、财政投资评审中心</w:t>
      </w:r>
      <w:r>
        <w:rPr>
          <w:rFonts w:hint="eastAsia" w:ascii="仿宋" w:hAnsi="仿宋" w:eastAsia="仿宋" w:cs="仿宋"/>
          <w:color w:val="000000"/>
          <w:sz w:val="30"/>
          <w:szCs w:val="30"/>
          <w:lang w:eastAsia="zh-CN"/>
        </w:rPr>
        <w:t>。</w:t>
      </w:r>
    </w:p>
    <w:p w14:paraId="2A7D59B5">
      <w:pPr>
        <w:pStyle w:val="3"/>
        <w:bidi w:val="0"/>
        <w:rPr>
          <w:rFonts w:hint="eastAsia"/>
        </w:rPr>
      </w:pPr>
      <w:r>
        <w:rPr>
          <w:rFonts w:hint="eastAsia"/>
        </w:rPr>
        <w:t>(二)人员编制情况</w:t>
      </w:r>
    </w:p>
    <w:p w14:paraId="025115D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根据中共邵阳县委办公室、邵阳县人民政府办公室《关于印发&lt;邵阳县财政局职能配置、内设机构和人员编制规定&gt;的通知》（邵办文〔2019〕88号）及县委编委的有关文件精神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县财政局核定人员编制为144人，截至2023年12月31日，实际在职人员为128人，离退休人员为22人，人员控制率为88.89%，具体人员情况如表1所示。</w:t>
      </w:r>
    </w:p>
    <w:p w14:paraId="7B9FAD7C">
      <w:pPr>
        <w:pStyle w:val="10"/>
        <w:rPr>
          <w:rFonts w:hint="eastAsia" w:ascii="仿宋" w:hAnsi="仿宋" w:eastAsia="仿宋" w:cs="仿宋"/>
          <w:sz w:val="30"/>
          <w:szCs w:val="30"/>
          <w:lang w:val="en-US" w:eastAsia="zh-CN"/>
        </w:rPr>
      </w:pPr>
    </w:p>
    <w:p w14:paraId="084786EC">
      <w:pPr>
        <w:pStyle w:val="10"/>
        <w:rPr>
          <w:rFonts w:hint="eastAsia" w:ascii="仿宋" w:hAnsi="仿宋" w:eastAsia="仿宋" w:cs="仿宋"/>
          <w:sz w:val="30"/>
          <w:szCs w:val="30"/>
          <w:lang w:val="en-US" w:eastAsia="zh-CN"/>
        </w:rPr>
      </w:pPr>
    </w:p>
    <w:p w14:paraId="332A3FE4">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30"/>
          <w:szCs w:val="30"/>
          <w:lang w:val="en-US" w:eastAsia="zh-CN"/>
        </w:rPr>
      </w:pPr>
    </w:p>
    <w:p w14:paraId="67972CD8">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表1 邵阳县财政局人员统计表</w:t>
      </w:r>
    </w:p>
    <w:p w14:paraId="5F43822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right"/>
        <w:textAlignment w:val="baseline"/>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单位：人</w:t>
      </w:r>
    </w:p>
    <w:tbl>
      <w:tblPr>
        <w:tblStyle w:val="1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5"/>
        <w:gridCol w:w="1295"/>
        <w:gridCol w:w="1817"/>
        <w:gridCol w:w="1176"/>
        <w:gridCol w:w="2684"/>
      </w:tblGrid>
      <w:tr w14:paraId="34CB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208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9176E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FC451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核定在职人员数</w:t>
            </w:r>
          </w:p>
        </w:tc>
        <w:tc>
          <w:tcPr>
            <w:tcW w:w="181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2810D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2023年年末实际在职人数</w:t>
            </w:r>
          </w:p>
        </w:tc>
        <w:tc>
          <w:tcPr>
            <w:tcW w:w="117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D4C1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离退休人数</w:t>
            </w:r>
          </w:p>
        </w:tc>
        <w:tc>
          <w:tcPr>
            <w:tcW w:w="268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7A72F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备注</w:t>
            </w:r>
          </w:p>
        </w:tc>
      </w:tr>
      <w:tr w14:paraId="423B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BE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行政编制人员数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01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90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4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794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仿宋_GB2312" w:hAnsi="仿宋_GB2312" w:eastAsia="仿宋_GB2312" w:cs="仿宋_GB2312"/>
                <w:i w:val="0"/>
                <w:iCs w:val="0"/>
                <w:color w:val="000000"/>
                <w:sz w:val="24"/>
                <w:szCs w:val="24"/>
                <w:u w:val="none"/>
              </w:rPr>
            </w:pPr>
          </w:p>
        </w:tc>
      </w:tr>
      <w:tr w14:paraId="45AD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A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事业编制人员人数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DF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35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E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43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因工作原因，事业编制人员调入1人、调出1人、辞职1人。</w:t>
            </w:r>
          </w:p>
        </w:tc>
      </w:tr>
      <w:tr w14:paraId="3A13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E9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参照公务员管理法管理人员数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57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BC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7A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E2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因工作原因，参照公务员管理法管理人员调出3人。</w:t>
            </w:r>
          </w:p>
        </w:tc>
      </w:tr>
      <w:tr w14:paraId="5106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2A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总数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5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F5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AA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85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仿宋_GB2312" w:hAnsi="仿宋_GB2312" w:eastAsia="仿宋_GB2312" w:cs="仿宋_GB2312"/>
                <w:i w:val="0"/>
                <w:iCs w:val="0"/>
                <w:color w:val="000000"/>
                <w:sz w:val="24"/>
                <w:szCs w:val="24"/>
                <w:u w:val="none"/>
              </w:rPr>
            </w:pPr>
          </w:p>
        </w:tc>
      </w:tr>
      <w:tr w14:paraId="33E4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DD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人员控制率（%）</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5FC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88.89%</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072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仿宋_GB2312" w:hAnsi="仿宋_GB2312" w:eastAsia="仿宋_GB2312" w:cs="仿宋_GB2312"/>
                <w:i w:val="0"/>
                <w:iCs w:val="0"/>
                <w:color w:val="000000"/>
                <w:sz w:val="24"/>
                <w:szCs w:val="24"/>
                <w:u w:val="none"/>
              </w:rPr>
            </w:pPr>
          </w:p>
        </w:tc>
      </w:tr>
    </w:tbl>
    <w:p w14:paraId="5F4269C3">
      <w:pPr>
        <w:pStyle w:val="3"/>
        <w:bidi w:val="0"/>
        <w:rPr>
          <w:rFonts w:hint="eastAsia"/>
        </w:rPr>
      </w:pPr>
      <w:r>
        <w:rPr>
          <w:rFonts w:hint="eastAsia"/>
        </w:rPr>
        <w:t>(三)主要职能职责</w:t>
      </w:r>
    </w:p>
    <w:p w14:paraId="72C57AE0">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根据中共邵阳县委办公室、邵阳县人民政府办公室《关于印发&lt;邵阳县财政局职能配置、内设机构和人员编制规定&gt;的通知》（邵办文〔2019〕88号）及县委编委的有关文件精神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县财政局主要职能职责如下：</w:t>
      </w:r>
    </w:p>
    <w:p w14:paraId="14BD49E1">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组织贯彻执行国家财税方针政策，拟订和执行全县财政政策、改革方案，指导全县财政工作；分析预测宏观经济形势，参与制定各项宏观经济政策；提出运用财税政策实施宏观调控和综合平衡社会财力的建议；拟订和执行县、乡（镇），政府与企业的分配政策，完善鼓励公益事业发展的财税政策。</w:t>
      </w:r>
    </w:p>
    <w:p w14:paraId="6F36B3D9">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2、代政府起草财政、财务、会计管理的制度及办法。</w:t>
      </w:r>
    </w:p>
    <w:p w14:paraId="6DC7517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承担本县各项财政收支管理的责任。负责编制年度县本级预决算草案并组织实行；代编全县财政收支预算、汇总全县财政总决算；受县人民政府委托，向县人大常委会报告全县预算及执行情况和财政总决算；组织制订全县经费开支标准、定额，负责审核批复部门（单位）的年度预决算。完善转移支付制度，落实和执行省直管县财政体制改革政策。</w:t>
      </w:r>
    </w:p>
    <w:p w14:paraId="0EC4F26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4、负责政府非税收入管理，负责政府性基金管理，按规定管理行政事业性收费。管理财政票据。制定彩票监督管理政策和有关办法，管理彩票市场，会同有关部门监督和管理彩票资金。</w:t>
      </w:r>
    </w:p>
    <w:p w14:paraId="2D977C61">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5、组织制定国库管理制度、国库集中收付制度，指导和监督县本级国库业务，按规定开展国库现金管理工作；负责制定政府采购制度并监督管理。加强国库和国库现金管理职能。县直机关、各乡镇场的支付纳入国库集中管理。</w:t>
      </w:r>
    </w:p>
    <w:p w14:paraId="6486A2D6">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6、贯彻执行国家税收法律、行政法规和税收调整政策，反馈政策执行情况，提出调整建议。参与县管理权限内有关税收政策及税收政策调整方案的调查研究，提出对策建议。</w:t>
      </w:r>
    </w:p>
    <w:p w14:paraId="5A1B7C1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7、负责制定全县行政事业单位国有资产管理规章制度，会同有关部门管理行政事业单位国有资产，制定需要全县统一规定的开支标准和支出政策，负责财政预算内行政、事业单位和社会团体的非贸易外汇管理。</w:t>
      </w:r>
    </w:p>
    <w:p w14:paraId="1918F832">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8、负责审核和汇总编制全县国有资本经营预决算草案，制定国有资本经营预算的制度和办法，收取县本级企业国有资本收益，组织实施企业财务制度，按规定管理地方金融类企业国有资产，参与拟订企业国有资产管理相关制度，负责除县政府授权相关部门监管以外的经营性国有资产管理，管理资产评估工作。</w:t>
      </w:r>
    </w:p>
    <w:p w14:paraId="46509F56">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9、负责办理和监督县财政的经济发展支出、县级政府性投资项目的财政拨款，参与拟订县建设投资的有关政策，组织实施基本建设财务制度，负责有关政策性补贴和专项储备资金财政管理工作。负责农业综合开发管理工作。</w:t>
      </w:r>
    </w:p>
    <w:p w14:paraId="35B11D71">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10、会同有关部门管理县财政社会保障和就业及医疗卫生支出，组织实施社会保障资金（基金）的财务管理制度，编制县社会保障预决算草案。</w:t>
      </w:r>
    </w:p>
    <w:p w14:paraId="54ECD81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11、贯彻执行政府内外债务管理的政策、制度和办法，防范财政风险。负责统一管理县政府外债，制定基本管理制度。按规定管理外国政府和国际金融组织贷（赠）款。承担财税领域交流与合作的具体工作。</w:t>
      </w:r>
    </w:p>
    <w:p w14:paraId="252C0EBE">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12、负责管理全县的会计工作，监督和规范会计行为，组织实施国家统一的会计制度，组织实施会计行政法规规章，指导和监督注册会计师和会计事务所的业务，指导和管理社会审计。</w:t>
      </w:r>
    </w:p>
    <w:p w14:paraId="39E25B4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13、监督检查财税法规、政策执行情况，反映财政收支管理中的重大问题，提出加强财政管理的政策和建议。</w:t>
      </w:r>
    </w:p>
    <w:p w14:paraId="3B70FB2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14、完善县、乡（镇）、村级财力与事权相匹配的体制，建立健全县对乡（镇）、村级财务管理体制，整合专项转移支付项目，增强基层政府提供公共服务的能力。</w:t>
      </w:r>
    </w:p>
    <w:p w14:paraId="5564A9F6">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15、研究制定公私合作（PPP）相关制度规定；支持公私合作（PPP）项目建设，管控项目建设风险；指导全县公私合作工作。</w:t>
      </w:r>
    </w:p>
    <w:p w14:paraId="424C21FF">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16、承办县人民政府交办的其他事项。</w:t>
      </w:r>
    </w:p>
    <w:p w14:paraId="081AB428">
      <w:pPr>
        <w:pStyle w:val="3"/>
        <w:bidi w:val="0"/>
        <w:rPr>
          <w:rFonts w:hint="eastAsia"/>
        </w:rPr>
      </w:pPr>
      <w:r>
        <w:rPr>
          <w:rFonts w:hint="eastAsia"/>
        </w:rPr>
        <w:t>(四)绩效目标设定情况</w:t>
      </w:r>
    </w:p>
    <w:p w14:paraId="3A06058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目标1：</w:t>
      </w:r>
      <w:r>
        <w:rPr>
          <w:rFonts w:hint="eastAsia" w:ascii="仿宋" w:hAnsi="仿宋" w:eastAsia="仿宋" w:cs="仿宋"/>
          <w:sz w:val="30"/>
          <w:szCs w:val="30"/>
        </w:rPr>
        <w:t>积极培植财源，拓宽收入渠道。抓好重大项目建设带来的发展机遇。加快推进“五好园区”、天子湖生态旅游度假区、高铁新城、犬木塘水库等重点项目建设，围绕着邵永高铁邵阳</w:t>
      </w:r>
      <w:r>
        <w:rPr>
          <w:rFonts w:hint="eastAsia" w:ascii="仿宋" w:hAnsi="仿宋" w:cs="仿宋"/>
          <w:sz w:val="30"/>
          <w:szCs w:val="30"/>
          <w:lang w:eastAsia="zh-CN"/>
        </w:rPr>
        <w:t>县</w:t>
      </w:r>
      <w:bookmarkStart w:id="0" w:name="_GoBack"/>
      <w:bookmarkEnd w:id="0"/>
      <w:r>
        <w:rPr>
          <w:rFonts w:hint="eastAsia" w:ascii="仿宋" w:hAnsi="仿宋" w:eastAsia="仿宋" w:cs="仿宋"/>
          <w:sz w:val="30"/>
          <w:szCs w:val="30"/>
        </w:rPr>
        <w:t>站做文章，提升投资营商环境，招引一批优质产业项目。为全年财政收入注入更多“源头活水”</w:t>
      </w:r>
      <w:r>
        <w:rPr>
          <w:rFonts w:hint="eastAsia" w:ascii="仿宋" w:hAnsi="仿宋" w:cs="仿宋"/>
          <w:sz w:val="30"/>
          <w:szCs w:val="30"/>
          <w:lang w:eastAsia="zh-CN"/>
        </w:rPr>
        <w:t>；</w:t>
      </w:r>
      <w:r>
        <w:rPr>
          <w:rFonts w:hint="eastAsia" w:ascii="仿宋" w:hAnsi="仿宋" w:eastAsia="仿宋" w:cs="仿宋"/>
          <w:sz w:val="30"/>
          <w:szCs w:val="30"/>
        </w:rPr>
        <w:t>利用产业政策机遇，巩固和提升减税降费成果，支持实体经济和中小企业发展。扩充中小企业担保公司资本金，加大财政奖补力度，积极开展担保业务，为中小企业纾困解难。</w:t>
      </w:r>
    </w:p>
    <w:p w14:paraId="6A5DD75B">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目标2：</w:t>
      </w:r>
      <w:r>
        <w:rPr>
          <w:rFonts w:hint="eastAsia" w:ascii="仿宋" w:hAnsi="仿宋" w:eastAsia="仿宋" w:cs="仿宋"/>
          <w:sz w:val="30"/>
          <w:szCs w:val="30"/>
        </w:rPr>
        <w:t>积极争取上级支持，缓解财政运行压力。深刻领会中央一揽子政策内涵，加强与上级财政部门沟通对接，密切跟踪、及时了解转移支付资金、专项资金和债券资金等积极财政政策的落地方案，挖掘各类项目资源，丰富工作手段，最大限度争取更多的资金支持和政策倾斜，为我县财政运行释放压力。</w:t>
      </w:r>
    </w:p>
    <w:p w14:paraId="3C2EA3A9">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目标3：</w:t>
      </w:r>
      <w:r>
        <w:rPr>
          <w:rFonts w:hint="eastAsia" w:ascii="仿宋" w:hAnsi="仿宋" w:eastAsia="仿宋" w:cs="仿宋"/>
          <w:sz w:val="30"/>
          <w:szCs w:val="30"/>
        </w:rPr>
        <w:t>全力防范化解风险，确保财政安全稳定。做好重点领域风险防范化解工作，确保财政经济稳健运行、可持续。抓实化解地方政府隐性债务风险工作，严禁新增隐性债务，坚决完成化债任务，探索拓宽化债渠道，做大做实政府财力，进一步降低综合债务率。“六个一批”政策继续发力，大力推进平台公司改革转型，着力拓展经营性项目，提高经营水平和偿债能力，确保平台公司资金运行安全稳定。优化政府债券发行使用管理，积极争取新增额度，兴产业、保重点、惠民生、提效益。根据中央、省、市关于政府性债务管理的要求，积极清理规范历年来政府性债务申报、使用、管理等工作，成立专班，组织全县业务力量，开展全面自查自纠，发现问题立行立改，确保省委专项巡察中不出问题。</w:t>
      </w:r>
    </w:p>
    <w:p w14:paraId="29E1BBDA">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目标4：</w:t>
      </w:r>
      <w:r>
        <w:rPr>
          <w:rFonts w:hint="eastAsia" w:ascii="仿宋" w:hAnsi="仿宋" w:eastAsia="仿宋" w:cs="仿宋"/>
          <w:sz w:val="30"/>
          <w:szCs w:val="30"/>
        </w:rPr>
        <w:t>践行人民至上，改善民生福祉。坚持尽力而为、量力而行，加强基本民生保障。严格落实党政机关过“紧日子”要求，严控一般性支出。支持就业创业，推进教育均衡发展，加大对教育“双减政策”的财政投入力度，健全社会保障和医疗卫生体系，促进文体事业协同发展。大力支持基础设施建设和产业发展，重点加大对乡村振兴和巩固拓展脱贫攻坚成果的资金投入，加强常态化疫情防控经费保障。扎实做好“六稳”工作，全面落实“六保”任务，着力优化营商环境，把及时兑现招商引资优惠政策资金作为财政重要责任，通过科学调度、积极筹措资金，全方位支持高新区和企业发展。</w:t>
      </w:r>
    </w:p>
    <w:p w14:paraId="0C09320C">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目标5：</w:t>
      </w:r>
      <w:r>
        <w:rPr>
          <w:rFonts w:hint="eastAsia" w:ascii="仿宋" w:hAnsi="仿宋" w:eastAsia="仿宋" w:cs="仿宋"/>
          <w:sz w:val="30"/>
          <w:szCs w:val="30"/>
        </w:rPr>
        <w:t>深化财政体制改革，助推高效运行发展。推进“四本”预算协同管理，实施零基预算，打破支出固化僵化、预算安排只增不减的格局。加大闲置资产处置力度，盘活财政资金。深入推动预算和绩效管理一体化，构建全方位、全过程预算绩效管理新格局。加快电子财政建设，提升财政管理信息化水平。同时严格执行年度预算，坚持先有预算，后有支出，严禁超预算或无预算安排支出。建立支出超标准、超范围的预警制度，定期对单位和乡镇进行考核通报，并将考核结果与资金安排、预算安排挂钩，更加注重优化支出结构，统筹财力保障重点支出，变“大水漫灌”为“精准滴灌”，集中财力通堵点、疏痛点、消盲点。</w:t>
      </w:r>
    </w:p>
    <w:p w14:paraId="2C3FB43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目标6：</w:t>
      </w:r>
      <w:r>
        <w:rPr>
          <w:rFonts w:hint="eastAsia" w:ascii="仿宋" w:hAnsi="仿宋" w:eastAsia="仿宋" w:cs="仿宋"/>
          <w:sz w:val="30"/>
          <w:szCs w:val="30"/>
        </w:rPr>
        <w:t>全面实施绩效管理，强化资金使用效益。加强收入计划的考核工作，为确保完成年初预算确定的收入计划，采取资金激励和绩效评分两种方式进行。对完成年初收入计划的不奖不罚，对超额完成年初收入计划的，超收部分按年初预算确定的比例安排执收成本，另按一定的标准在绩效考核上予以加分；对未完成年初收入计划的，按短收的县级部分从单位预算经费中扣回。</w:t>
      </w:r>
    </w:p>
    <w:p w14:paraId="26AECD43">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目标7：</w:t>
      </w:r>
      <w:r>
        <w:rPr>
          <w:rFonts w:hint="eastAsia" w:ascii="仿宋" w:hAnsi="仿宋" w:eastAsia="仿宋" w:cs="仿宋"/>
          <w:sz w:val="30"/>
          <w:szCs w:val="30"/>
        </w:rPr>
        <w:t>加强干部队伍管理，不断提升综合素质。财政干部队伍的素质直接关系我县财政管理工作水平，为锻造专业高效的“业务强兵”。一是要加强业务训练，坚持把学习作为提升专业能力的首要途径，通过常态化开展“周五课堂”活动，及时传达学习财政工作最新政策精神和业务知识。二是要大力推行“1+N”结对培养模式，采取以老带新、新老互学的方法，倒逼财政干部学理论、学政策、学业务，全面提升综合能力素质。三是要加强作风锤炼，始终把加强财政部门作风建设摆在突出位置，坚持从严治党，经常性开展警示教育，引导财政干部严于律己、严以修身，守住底线、不碰红线，锻造遵规守纪的“清廉标兵”。</w:t>
      </w:r>
    </w:p>
    <w:p w14:paraId="72B099FB">
      <w:pPr>
        <w:pStyle w:val="2"/>
        <w:bidi w:val="0"/>
        <w:rPr>
          <w:rFonts w:hint="eastAsia"/>
        </w:rPr>
      </w:pPr>
      <w:r>
        <w:rPr>
          <w:rFonts w:hint="eastAsia"/>
        </w:rPr>
        <w:t>二、一般公共预算支出情况</w:t>
      </w:r>
    </w:p>
    <w:p w14:paraId="3F38A419">
      <w:pPr>
        <w:pStyle w:val="3"/>
        <w:bidi w:val="0"/>
        <w:rPr>
          <w:rFonts w:hint="eastAsia"/>
        </w:rPr>
      </w:pPr>
      <w:r>
        <w:rPr>
          <w:rFonts w:hint="eastAsia"/>
        </w:rPr>
        <w:t>(一)经批复的预、决算情况</w:t>
      </w:r>
    </w:p>
    <w:p w14:paraId="4B3B1C2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根据县委、县政府的《邵阳县财政局关于2023年部门预算批复明细表》的文件显示，2023年部门批复金额2284.49万元，其中基本支出2184.49万元，项目支出100万元，其中项目支出1个，财政绩效评价100万元。</w:t>
      </w:r>
    </w:p>
    <w:p w14:paraId="698B1DF9">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cs="仿宋"/>
          <w:sz w:val="30"/>
          <w:szCs w:val="30"/>
          <w:lang w:val="en-US" w:eastAsia="zh-CN"/>
        </w:rPr>
      </w:pPr>
      <w:r>
        <w:rPr>
          <w:rFonts w:hint="eastAsia" w:ascii="仿宋" w:hAnsi="仿宋" w:cs="仿宋"/>
          <w:sz w:val="30"/>
          <w:szCs w:val="30"/>
          <w:lang w:val="en-US" w:eastAsia="zh-CN"/>
        </w:rPr>
        <w:t>2023年部门决算报表显示，部门全年预算数3907.9万元，其中基本支出3907.9万元，项目支出0万元。</w:t>
      </w:r>
    </w:p>
    <w:p w14:paraId="0D8757E8">
      <w:pPr>
        <w:pStyle w:val="3"/>
        <w:bidi w:val="0"/>
        <w:rPr>
          <w:rFonts w:hint="eastAsia"/>
        </w:rPr>
      </w:pPr>
      <w:r>
        <w:rPr>
          <w:rFonts w:hint="eastAsia"/>
        </w:rPr>
        <w:t>(二)部门预算执行情况</w:t>
      </w:r>
    </w:p>
    <w:p w14:paraId="64CE2FD8">
      <w:pPr>
        <w:pStyle w:val="4"/>
        <w:bidi w:val="0"/>
        <w:rPr>
          <w:rFonts w:hint="eastAsia"/>
        </w:rPr>
      </w:pPr>
      <w:r>
        <w:rPr>
          <w:rFonts w:hint="eastAsia"/>
        </w:rPr>
        <w:t>1.基本支出情况</w:t>
      </w:r>
    </w:p>
    <w:p w14:paraId="5A64462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cs="仿宋"/>
          <w:sz w:val="30"/>
          <w:szCs w:val="30"/>
          <w:lang w:val="en-US" w:eastAsia="zh-CN"/>
        </w:rPr>
      </w:pPr>
      <w:r>
        <w:rPr>
          <w:rFonts w:hint="eastAsia" w:ascii="仿宋" w:hAnsi="仿宋" w:cs="仿宋"/>
          <w:sz w:val="30"/>
          <w:szCs w:val="30"/>
          <w:lang w:val="en-US" w:eastAsia="zh-CN"/>
        </w:rPr>
        <w:t>2023年年初基本支出2184.49万元，2023年基本支出全年预算数3907.9万元，全年执行数3907.9万元，基本支出预算执行率100%。具体基本支出各项金额及明细如表2所示。</w:t>
      </w:r>
    </w:p>
    <w:p w14:paraId="6EE710F8">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cs="仿宋"/>
          <w:sz w:val="30"/>
          <w:szCs w:val="30"/>
          <w:lang w:val="en-US" w:eastAsia="zh-CN"/>
        </w:rPr>
      </w:pPr>
      <w:r>
        <w:rPr>
          <w:rFonts w:hint="eastAsia" w:ascii="仿宋" w:hAnsi="仿宋" w:eastAsia="仿宋" w:cs="仿宋"/>
          <w:b/>
          <w:bCs/>
          <w:sz w:val="30"/>
          <w:szCs w:val="30"/>
          <w:lang w:val="en-US" w:eastAsia="zh-CN"/>
        </w:rPr>
        <w:t>表</w:t>
      </w:r>
      <w:r>
        <w:rPr>
          <w:rFonts w:hint="eastAsia" w:ascii="仿宋" w:hAnsi="仿宋" w:cs="仿宋"/>
          <w:b/>
          <w:bCs/>
          <w:sz w:val="30"/>
          <w:szCs w:val="30"/>
          <w:lang w:val="en-US" w:eastAsia="zh-CN"/>
        </w:rPr>
        <w:t>2</w:t>
      </w:r>
      <w:r>
        <w:rPr>
          <w:rFonts w:hint="eastAsia" w:ascii="仿宋" w:hAnsi="仿宋" w:eastAsia="仿宋" w:cs="仿宋"/>
          <w:b/>
          <w:bCs/>
          <w:sz w:val="30"/>
          <w:szCs w:val="30"/>
          <w:lang w:val="en-US" w:eastAsia="zh-CN"/>
        </w:rPr>
        <w:t xml:space="preserve"> 邵阳县财政局</w:t>
      </w:r>
      <w:r>
        <w:rPr>
          <w:rFonts w:hint="eastAsia" w:ascii="仿宋" w:hAnsi="仿宋" w:cs="仿宋"/>
          <w:b/>
          <w:bCs/>
          <w:sz w:val="30"/>
          <w:szCs w:val="30"/>
          <w:lang w:val="en-US" w:eastAsia="zh-CN"/>
        </w:rPr>
        <w:t>2023年基本支出明细</w:t>
      </w:r>
      <w:r>
        <w:rPr>
          <w:rFonts w:hint="eastAsia" w:ascii="仿宋" w:hAnsi="仿宋" w:eastAsia="仿宋" w:cs="仿宋"/>
          <w:b/>
          <w:bCs/>
          <w:sz w:val="30"/>
          <w:szCs w:val="30"/>
          <w:lang w:val="en-US" w:eastAsia="zh-CN"/>
        </w:rPr>
        <w:t>表</w:t>
      </w:r>
    </w:p>
    <w:tbl>
      <w:tblPr>
        <w:tblStyle w:val="11"/>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9"/>
        <w:gridCol w:w="2017"/>
        <w:gridCol w:w="1836"/>
        <w:gridCol w:w="1720"/>
        <w:gridCol w:w="1944"/>
      </w:tblGrid>
      <w:tr w14:paraId="1434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153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2C826E4">
            <w:pPr>
              <w:keepNext w:val="0"/>
              <w:keepLines w:val="0"/>
              <w:pageBreakBefore w:val="0"/>
              <w:widowControl/>
              <w:wordWrap/>
              <w:overflowPunct/>
              <w:topLinePunct w:val="0"/>
              <w:bidi w:val="0"/>
              <w:spacing w:line="240" w:lineRule="auto"/>
              <w:ind w:firstLine="0" w:firstLineChars="0"/>
              <w:jc w:val="center"/>
              <w:rPr>
                <w:rFonts w:hint="eastAsia" w:ascii="仿宋" w:hAnsi="仿宋" w:eastAsia="仿宋" w:cs="仿宋"/>
                <w:b/>
                <w:bCs/>
                <w:i w:val="0"/>
                <w:iCs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70417C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年初预算数</w:t>
            </w:r>
          </w:p>
          <w:p w14:paraId="663E9F6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183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4FF1E2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全年预算数</w:t>
            </w:r>
          </w:p>
          <w:p w14:paraId="656D563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172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0C8658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全年执行数</w:t>
            </w:r>
          </w:p>
          <w:p w14:paraId="661F009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194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079A14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基本支出预算执行率（%）</w:t>
            </w:r>
          </w:p>
        </w:tc>
      </w:tr>
      <w:tr w14:paraId="5196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E1E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工资福利支出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C21E">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1751.36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2343">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2098.90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9C95">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2098.90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669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14:paraId="3EF0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122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商品和服务支出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3117">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268.74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A9BF">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1731.97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FB9">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1731.97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88E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14:paraId="5854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896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对个人和家庭的补助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4C10">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164.39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EA5">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74.27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AD05">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74.27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E8C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14:paraId="60B5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1A1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对个人和家庭的补助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3F28">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A42E">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32B1">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A61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686B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056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债务利息及费用支出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0EF1">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78B0">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699">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12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679C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9B2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资本性支出（基本建设）</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C44F">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DAB">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3CED">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9AD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6FA0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15C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资本性支出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44C">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A4B">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2.76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8FA3">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2.76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CFC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100.00%</w:t>
            </w:r>
          </w:p>
        </w:tc>
      </w:tr>
      <w:tr w14:paraId="63E8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454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对企业补助（基本建设）</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931B">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2F28">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15CE">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AF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6F41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8BD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对企业补助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BF6A">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2EC5">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FFA8">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2DB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27F1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88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对社会保障基金补助</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64BC">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045">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E4E5">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BB7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47BA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94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其他支出</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357A">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52ED">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285E">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7E8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7312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9D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合计</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D185">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 xml:space="preserve">2184.49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5C66">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 xml:space="preserve">3907.90 </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E4C">
            <w:pPr>
              <w:keepNext w:val="0"/>
              <w:keepLines w:val="0"/>
              <w:pageBreakBefore w:val="0"/>
              <w:widowControl/>
              <w:suppressLineNumbers w:val="0"/>
              <w:wordWrap/>
              <w:overflowPunct/>
              <w:topLinePunct w:val="0"/>
              <w:bidi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 xml:space="preserve">3907.90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D8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100.00%</w:t>
            </w:r>
          </w:p>
        </w:tc>
      </w:tr>
    </w:tbl>
    <w:p w14:paraId="3DE478FE">
      <w:pPr>
        <w:pStyle w:val="4"/>
        <w:bidi w:val="0"/>
        <w:rPr>
          <w:rFonts w:hint="eastAsia"/>
        </w:rPr>
      </w:pPr>
      <w:r>
        <w:rPr>
          <w:rFonts w:hint="eastAsia"/>
        </w:rPr>
        <w:t>2.项目支出情况</w:t>
      </w:r>
    </w:p>
    <w:p w14:paraId="475BD066">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2023年年初项目支出100万元，2023年项目支出全年预算数0万元，全年执行数0万元，项目支出预算执行率0%。</w:t>
      </w:r>
    </w:p>
    <w:p w14:paraId="6E927057">
      <w:pPr>
        <w:pStyle w:val="3"/>
        <w:bidi w:val="0"/>
        <w:rPr>
          <w:rFonts w:hint="eastAsia"/>
        </w:rPr>
      </w:pPr>
      <w:r>
        <w:rPr>
          <w:rFonts w:hint="eastAsia"/>
        </w:rPr>
        <w:t>(三)"三公"经费使用和管理情况</w:t>
      </w:r>
    </w:p>
    <w:p w14:paraId="2C976E6C">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2023年年三公经费安排15万元，2023年三公经费实际执行14.92万元，三公经费实际执行率未99.47%，具体三公经费安排及支出明细如表3所示。</w:t>
      </w:r>
    </w:p>
    <w:p w14:paraId="23854373">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仿宋" w:hAnsi="仿宋" w:cs="仿宋"/>
          <w:sz w:val="30"/>
          <w:szCs w:val="30"/>
          <w:lang w:val="en-US" w:eastAsia="zh-CN"/>
        </w:rPr>
      </w:pPr>
      <w:r>
        <w:rPr>
          <w:rFonts w:hint="eastAsia" w:ascii="仿宋" w:hAnsi="仿宋" w:eastAsia="仿宋" w:cs="仿宋"/>
          <w:b/>
          <w:bCs/>
          <w:sz w:val="30"/>
          <w:szCs w:val="30"/>
          <w:lang w:val="en-US" w:eastAsia="zh-CN"/>
        </w:rPr>
        <w:t>表</w:t>
      </w:r>
      <w:r>
        <w:rPr>
          <w:rFonts w:hint="eastAsia" w:ascii="仿宋" w:hAnsi="仿宋" w:cs="仿宋"/>
          <w:b/>
          <w:bCs/>
          <w:sz w:val="30"/>
          <w:szCs w:val="30"/>
          <w:lang w:val="en-US" w:eastAsia="zh-CN"/>
        </w:rPr>
        <w:t>3</w:t>
      </w:r>
      <w:r>
        <w:rPr>
          <w:rFonts w:hint="eastAsia" w:ascii="仿宋" w:hAnsi="仿宋" w:eastAsia="仿宋" w:cs="仿宋"/>
          <w:b/>
          <w:bCs/>
          <w:sz w:val="30"/>
          <w:szCs w:val="30"/>
          <w:lang w:val="en-US" w:eastAsia="zh-CN"/>
        </w:rPr>
        <w:t xml:space="preserve"> 邵阳县财政局</w:t>
      </w:r>
      <w:r>
        <w:rPr>
          <w:rFonts w:hint="eastAsia" w:ascii="仿宋" w:hAnsi="仿宋" w:cs="仿宋"/>
          <w:b/>
          <w:bCs/>
          <w:sz w:val="30"/>
          <w:szCs w:val="30"/>
          <w:lang w:val="en-US" w:eastAsia="zh-CN"/>
        </w:rPr>
        <w:t>2023年"三公"经费明细</w:t>
      </w:r>
      <w:r>
        <w:rPr>
          <w:rFonts w:hint="eastAsia" w:ascii="仿宋" w:hAnsi="仿宋" w:eastAsia="仿宋" w:cs="仿宋"/>
          <w:b/>
          <w:bCs/>
          <w:sz w:val="30"/>
          <w:szCs w:val="30"/>
          <w:lang w:val="en-US" w:eastAsia="zh-CN"/>
        </w:rPr>
        <w:t>表</w:t>
      </w:r>
    </w:p>
    <w:tbl>
      <w:tblPr>
        <w:tblStyle w:val="1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1"/>
        <w:gridCol w:w="2215"/>
        <w:gridCol w:w="2416"/>
        <w:gridCol w:w="2615"/>
      </w:tblGrid>
      <w:tr w14:paraId="5B25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181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AA9FA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三公经费支出内容</w:t>
            </w:r>
          </w:p>
        </w:tc>
        <w:tc>
          <w:tcPr>
            <w:tcW w:w="221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2176B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2023年预算数</w:t>
            </w:r>
          </w:p>
          <w:p w14:paraId="7362D6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241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B0901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2023年执行数</w:t>
            </w:r>
          </w:p>
          <w:p w14:paraId="6509FA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（万元）</w:t>
            </w:r>
          </w:p>
        </w:tc>
        <w:tc>
          <w:tcPr>
            <w:tcW w:w="261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2B4DC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执行率</w:t>
            </w:r>
          </w:p>
          <w:p w14:paraId="6CE455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w:t>
            </w:r>
          </w:p>
        </w:tc>
      </w:tr>
      <w:tr w14:paraId="6214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4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公务接待费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4D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2C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14.92</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C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99.47%</w:t>
            </w:r>
          </w:p>
        </w:tc>
      </w:tr>
      <w:tr w14:paraId="38A7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7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公务用车购置及运行费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DC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87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D6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6CA9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4E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因公出国(境)费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1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AB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66F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0.00%</w:t>
            </w:r>
          </w:p>
        </w:tc>
      </w:tr>
      <w:tr w14:paraId="3B50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B6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合计</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E4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B2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14.92</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E6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99.47%</w:t>
            </w:r>
          </w:p>
        </w:tc>
      </w:tr>
    </w:tbl>
    <w:p w14:paraId="60C196A1">
      <w:pPr>
        <w:pStyle w:val="3"/>
        <w:bidi w:val="0"/>
        <w:rPr>
          <w:rFonts w:hint="eastAsia"/>
        </w:rPr>
      </w:pPr>
      <w:r>
        <w:rPr>
          <w:rFonts w:hint="eastAsia"/>
        </w:rPr>
        <w:t>(四)资金结转和结余情况</w:t>
      </w:r>
    </w:p>
    <w:p w14:paraId="2DA2C37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eastAsia" w:ascii="仿宋" w:hAnsi="仿宋" w:cs="仿宋"/>
          <w:sz w:val="30"/>
          <w:szCs w:val="30"/>
          <w:lang w:val="en-US" w:eastAsia="zh-CN"/>
        </w:rPr>
        <w:t>2023年邵阳县财政局结转金额0万元，结余0万元。</w:t>
      </w:r>
    </w:p>
    <w:p w14:paraId="506F46A6">
      <w:pPr>
        <w:pStyle w:val="3"/>
        <w:bidi w:val="0"/>
        <w:rPr>
          <w:rFonts w:hint="eastAsia"/>
        </w:rPr>
      </w:pPr>
      <w:r>
        <w:rPr>
          <w:rFonts w:hint="eastAsia"/>
        </w:rPr>
        <w:t>(五)部门整体支出管理与制度建设情况</w:t>
      </w:r>
    </w:p>
    <w:p w14:paraId="56BF5EDB">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严格按照《</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关于印发&lt;</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政府采购内部控制制度(试行)&gt;的通知》、《</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关于印发&lt;</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公务接待管理制度&gt;等八项制度的通知》、《</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合同管理制度》、《</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基建管理制度》、《</w:t>
      </w:r>
      <w:r>
        <w:rPr>
          <w:rFonts w:hint="eastAsia" w:ascii="仿宋" w:hAnsi="仿宋" w:cs="仿宋"/>
          <w:sz w:val="30"/>
          <w:szCs w:val="30"/>
          <w:lang w:val="en-US" w:eastAsia="zh-CN"/>
        </w:rPr>
        <w:t>邵阳县财政局</w:t>
      </w:r>
      <w:r>
        <w:rPr>
          <w:rFonts w:hint="eastAsia" w:ascii="仿宋" w:hAnsi="仿宋" w:eastAsia="仿宋" w:cs="仿宋"/>
          <w:sz w:val="30"/>
          <w:szCs w:val="30"/>
          <w:lang w:val="en-US" w:eastAsia="zh-CN"/>
        </w:rPr>
        <w:t>收入管理制度》等有关规定执行。</w:t>
      </w:r>
    </w:p>
    <w:p w14:paraId="3DBAB533">
      <w:pPr>
        <w:pStyle w:val="2"/>
        <w:bidi w:val="0"/>
        <w:rPr>
          <w:rFonts w:hint="eastAsia"/>
        </w:rPr>
      </w:pPr>
      <w:r>
        <w:rPr>
          <w:rFonts w:hint="eastAsia"/>
        </w:rPr>
        <w:t>三、政府性基金预算支出情况</w:t>
      </w:r>
    </w:p>
    <w:p w14:paraId="1B6D241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2023年无政府性基金预算支出。</w:t>
      </w:r>
    </w:p>
    <w:p w14:paraId="31F73C3D">
      <w:pPr>
        <w:pStyle w:val="2"/>
        <w:bidi w:val="0"/>
        <w:rPr>
          <w:rFonts w:hint="eastAsia"/>
        </w:rPr>
      </w:pPr>
      <w:r>
        <w:rPr>
          <w:rFonts w:hint="eastAsia"/>
        </w:rPr>
        <w:t>四、国有资本经营预算支出情况</w:t>
      </w:r>
    </w:p>
    <w:p w14:paraId="179B0F7D">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2023年无国有资本经营预算支出。</w:t>
      </w:r>
    </w:p>
    <w:p w14:paraId="12BAC040">
      <w:pPr>
        <w:pStyle w:val="2"/>
        <w:bidi w:val="0"/>
        <w:rPr>
          <w:rFonts w:hint="eastAsia"/>
        </w:rPr>
      </w:pPr>
      <w:r>
        <w:rPr>
          <w:rFonts w:hint="eastAsia"/>
        </w:rPr>
        <w:t>五、社会保险基金预算支出情况</w:t>
      </w:r>
    </w:p>
    <w:p w14:paraId="4F12979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2023年无社会保险基金预算支出。</w:t>
      </w:r>
    </w:p>
    <w:p w14:paraId="5900FDDA">
      <w:pPr>
        <w:pStyle w:val="2"/>
        <w:bidi w:val="0"/>
        <w:rPr>
          <w:rFonts w:hint="eastAsia"/>
        </w:rPr>
      </w:pPr>
      <w:r>
        <w:rPr>
          <w:rFonts w:hint="eastAsia"/>
        </w:rPr>
        <w:t>六、部门整体支出绩效情况</w:t>
      </w:r>
    </w:p>
    <w:p w14:paraId="4DA40031">
      <w:pPr>
        <w:pStyle w:val="3"/>
        <w:bidi w:val="0"/>
        <w:rPr>
          <w:rFonts w:hint="eastAsia"/>
        </w:rPr>
      </w:pPr>
      <w:r>
        <w:rPr>
          <w:rFonts w:hint="eastAsia"/>
        </w:rPr>
        <w:t>(一)综合评价结论</w:t>
      </w:r>
    </w:p>
    <w:p w14:paraId="1EF9219F">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default" w:ascii="仿宋" w:hAnsi="仿宋" w:eastAsia="仿宋" w:cs="仿宋"/>
          <w:sz w:val="30"/>
          <w:szCs w:val="30"/>
          <w:lang w:val="en-US" w:eastAsia="zh-CN"/>
        </w:rPr>
      </w:pPr>
      <w:r>
        <w:rPr>
          <w:rFonts w:hint="eastAsia" w:ascii="仿宋" w:hAnsi="仿宋" w:cs="仿宋"/>
          <w:sz w:val="30"/>
          <w:szCs w:val="30"/>
          <w:lang w:val="en-US" w:eastAsia="zh-CN"/>
        </w:rPr>
        <w:t>邵阳县财政局部门整体支出绩效自评评分为100分，评分等级为优。</w:t>
      </w:r>
    </w:p>
    <w:p w14:paraId="15249CA3">
      <w:pPr>
        <w:pStyle w:val="3"/>
        <w:bidi w:val="0"/>
        <w:rPr>
          <w:rFonts w:hint="eastAsia"/>
        </w:rPr>
      </w:pPr>
      <w:r>
        <w:rPr>
          <w:rFonts w:hint="eastAsia"/>
        </w:rPr>
        <w:t>(二)评价指标分析</w:t>
      </w:r>
    </w:p>
    <w:p w14:paraId="3B5004DD">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1、</w:t>
      </w:r>
      <w:r>
        <w:rPr>
          <w:rFonts w:hint="eastAsia" w:ascii="仿宋" w:hAnsi="仿宋" w:eastAsia="仿宋" w:cs="仿宋"/>
          <w:sz w:val="30"/>
          <w:szCs w:val="30"/>
        </w:rPr>
        <w:t>坚持党建引领，推动财政高质量发展</w:t>
      </w:r>
    </w:p>
    <w:p w14:paraId="0C268802">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深入推进党风廉政建设。召开全局财政系统党风廉政建设工作会议，安排部署2023年落实全面从严治党主体责任工作要点，认真整改落实巡视巡察交办的相关问题。二是履行党组意识形态工作主体责任。始终把意识形态工作摆在重要位置，贯彻落实县委关于意识形态工作的决策部署，制定年度工作计划和学习计划，切实抓好县财政系统意识形态工作。三是狠抓党员干部学习教育培训。2023年组织党员干部学习教育培训3次，组织“周五课堂”集中学习23次，组织观看红色教育影片2次，干部职工政治理论及业务水平有了进一步的提高。四是打造“五化”支部。对标“五化”工作要求，高标准完成机关党委换届和新设支部选举、三会一课、双述双评、阵地建设等重点工作，扎实开展各种形式丰富多彩的主题活动。五是助力“乡村振兴”。从全局抽调12名精兵，分配到我局联系的4个村开展“乡村振兴”工作，并担任驻村第一书记，全力开展“乡村振兴”工作，取得非常好的成果。六是扎实开展“敲门行动”、“万人联万企”等活动。积极组织干部职工深入基层开展“敲门行动”，摸清人员情况，听取群众意见，对所联的区域、企业都做到了人员清、底子清、问题清。</w:t>
      </w:r>
    </w:p>
    <w:p w14:paraId="311855D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2、</w:t>
      </w:r>
      <w:r>
        <w:rPr>
          <w:rFonts w:hint="eastAsia" w:ascii="仿宋" w:hAnsi="仿宋" w:eastAsia="仿宋" w:cs="仿宋"/>
          <w:sz w:val="30"/>
          <w:szCs w:val="30"/>
        </w:rPr>
        <w:t>紧盯收入目标，确保应收尽收</w:t>
      </w:r>
    </w:p>
    <w:p w14:paraId="6151CB21">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盯牢年度税收目标。按照税源逐项进行细化落实，每日核实企业申报税收情况，确保各项收入目标如期实现；盯招商项目实施进程，尽早形成新的税源增长点；盯重大税源企业生产情况，及时兑现扶持政策，发现问题及时研究解决，确保税收增长。二是落实政策减免。推行惠企政策“免申即享”，落实制造业增值税留抵退税、小规模纳税人减征免征等减税降费政策，加强非税收入退付管理。今年，全县减税降费26150万元，做到了应免尽免，应缓尽缓。三是加强非税稽查力度，规范收费行为。严格对执收单位未执行“收支两条线”管理规定截留非税收入进行查处，对擅自扩大收费范围、提高征收标准、越权违规自立名目等违规行为进行查处，非税收入执收规范管理取得实效。2023年，累计完成地方财政收入79003万元，较上年同期68363万元增加     10640万元，增长15.56%。其中税收收入完成46349万元，较上年同期增长11.69%，非税收入完成32654万元，较上年同期增长21.54%，地方财政收入税占比58.66%。四是科学处置国有“三资”。全年完成“三资”清查处置收入79374万元，其中：国有土地使用权出让金收入50699万元，国有资源有偿使用收入12300万元，国有资产处置收入2904万元，盘活闲置、低效资金13471万元。</w:t>
      </w:r>
    </w:p>
    <w:p w14:paraId="028C2B2D">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3、</w:t>
      </w:r>
      <w:r>
        <w:rPr>
          <w:rFonts w:hint="eastAsia" w:ascii="仿宋" w:hAnsi="仿宋" w:eastAsia="仿宋" w:cs="仿宋"/>
          <w:sz w:val="30"/>
          <w:szCs w:val="30"/>
        </w:rPr>
        <w:t>汇聚发展合力，培育壮大财源</w:t>
      </w:r>
    </w:p>
    <w:p w14:paraId="1F65C8B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全力招商引资。深入实施“迎老乡、回故乡、建家乡”招商行动，大力推进产业集群招商、产业链招商、产业生态招商、基金招商、走出去“敲门”招商，推动湘商回归和返乡创业。今年，全县已签约招商引资项目50个，签约金额99.82亿元，实际利用内资65亿元，实际使用外资104.5万美元。其中，湘商回归签约项目28个，签约金额44.2亿元，新增湘商回湘注册企业8个。二是实施产业奖补。为县内38家公司申报了县域商业体系建设项目、中小企业发展、冷链物流项目、企业税收增量奖补项目，争取省市对企业各类奖补、改造资金1163.9万元。向县内184家企业发放扩建、租房补贴、外贸进出口奖励、招商引资政策兑现等产业发展奖补资金3.43亿元。三是协调金融支持。常态化举办政银企对接会协调金融机构创新金融产品，支持县中小企业融资担保公司为中小微企业融资增信，帮助企业融资10.54亿元，助力企业发展。全县现有年纳税500万元以上骨干企业27家，同比增加5家；年纳税200万元以上骨干企业60家，同比增加15家。四是有效盘活“三资”。以县城发集团为平台，引进央企共同开发莲花山矿区建筑石料用灰岩矿开采开发项目。挂牌出让土地174.86亩，引进中国供销商贸流通集团，投资10亿元建设中国供销·邵阳县智慧商贸物流园，项目建成后可容纳1000余家企业商户入驻，提供3000个以上就业岗位，实现年市场交易额40亿元以上，年创税收2000万元以上。五是发挥政府投资引导作用。积极发挥地方政府专项债券对稳投资、扩内需、补短板的作用，全力做好新增专项债券项目申报工作。2023年，我县发行专项债券项目10个，发行金额达9.41亿元，发行一般债券资金2.18亿元。</w:t>
      </w:r>
    </w:p>
    <w:p w14:paraId="1BBA8CA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4、</w:t>
      </w:r>
      <w:r>
        <w:rPr>
          <w:rFonts w:hint="eastAsia" w:ascii="仿宋" w:hAnsi="仿宋" w:eastAsia="仿宋" w:cs="仿宋"/>
          <w:sz w:val="30"/>
          <w:szCs w:val="30"/>
        </w:rPr>
        <w:t>坚持有保有压，保障重点支出</w:t>
      </w:r>
    </w:p>
    <w:p w14:paraId="05D6E663">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一是法定支出增长得到有效保障。2023年十三项民生支出为     470575万元，比上年增加24856万元；公共服务支出（含七项）323363万元，人均公共服务支出4423元，同比减少776元，下降14.93%（下降是因为省厅把卫生健康支出中的42176万元的新农合资金，上收到市本级列支，导致县本级的人均公共服务支出减少577元，剔除这个因素，人均公共服务支出同比减少199万元）。二是切实兜牢“三保”底线。面对巨大的收支矛盾，我们始终牢固树立过紧日子的思想，通过科学统筹调度库款，兜住了“三保”支出底线，确保了债务还本付息资金的及时到位，充分发挥了社会发展“稳定器”的作用。2023年我县“三保”支出383106万元，其中保基本民生206320万元，保工资支出150236万元，保运转支出26550万元。三是“三公”经费只减不增。按照上级关于三公经费只减不增的要求，在平时资金支付过程中严控三公经费支出，2023年三公经费预计支出 1345万元，比上年减少 159 万元，下降9.9％。其中：公务接待支出502万元，同比下降11.3％。四是保障教育支出优先。2023年教育总支出 124061万元，其中教师待遇各项支出95130 万元，全方位保障了教师各项待遇落实；安排全县教育公用经费 9503万元，保证各类学校的正常运转；安排教育项目建设资金9286万元，拨付营养改善计划资金 6733.9万元，享受营养改善计划学生74139人。五是加大医疗卫生和社保资金投入。2023年基本公共卫生服务资金投入6506.79万元，保障公共卫生服务改革健康发展；城乡居民基本医疗保险资金投入48075.58万元；拨付城乡低保补助资金11555.58万元、城乡居民养老保险资金23519.72万元、五保资金5527.69万元、优抚对象补助资金7056万元，有力保障了广大人民群众的根本生活需求。六是支持巩固拓展脱贫攻坚成果同乡村振兴有效衔接。全年安排落实财政衔接推进乡村振兴补助资金30329.8万元，大力支持水利发展、农业生产发展、林业改革、农田建设、农村综合改革、农村危房改造等方面。安排2350 万元大力发展村级集体经济，统筹6297万元建设今年是要新建高标准农田1.66万亩，改造提升高标准农田2.2万亩，支持标准粮仓建设,全力保粮食安全。</w:t>
      </w:r>
    </w:p>
    <w:p w14:paraId="6BB7A61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5、</w:t>
      </w:r>
      <w:r>
        <w:rPr>
          <w:rFonts w:hint="eastAsia" w:ascii="仿宋" w:hAnsi="仿宋" w:eastAsia="仿宋" w:cs="仿宋"/>
          <w:sz w:val="30"/>
          <w:szCs w:val="30"/>
        </w:rPr>
        <w:t>加强监督管理，发挥资金效能</w:t>
      </w:r>
    </w:p>
    <w:p w14:paraId="16A9BC6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规范政府采购管理。全年共接到采购申报计划26957.6万元，实际采购金额22169.7万元，共节约采购资金4787.9万元。为全县各采购单位发放政府采购编号项目426个，完成招投标程序的有305个，正在进行的项目有121个，全县采购规模再上新台阶，节资效果明显。二是加大财政投资评审力度。在重点项目评审中下功夫、求突破，积极开展实地踏勘、市场调研、多方论证等工作，有力提升了评审效率，全年完成概（预）算评审项目351 个，评审金额233926万元，审减金额19395万元，审减率8.26%。三是开展惠农补贴检查整改。实地抽查了5个县直单位，实地走访21个乡镇，67个行政村（组），查阅、调阅或收集与查证纸质资料5600余份，比对电子数据包125余份，入户调查203户农户和72户种粮大户，对发现的问题建立整改台账，明确整改单位落实整改措施，现已全部整改到位。四是强化乡镇财务管理。对于乡镇财政的管理我们实施乡财县管管理模式、“统收统支”管理体制，在年初预算上对21个乡镇（场）视同县直部门做到统一标准、统一收支范围，并且严格按照省委全面加强基层建设“1+5”等系列文件精神，足额安排支出。在预算执行过程中，乡、村两级保工资、保运转、保待遇20%提高部分都及时到位。五是落实绩效评价结果运用机制。将绩效评价结果与预算挂钩，2023年根据上年评价结果，在年初预算安排上核减了县农业农村局、县公安局、县交警大队、县税务局专项经费预算1514.6万元，充分发挥绩效评价结果应用效能，切实做到花钱必问效、无效必问责。</w:t>
      </w:r>
    </w:p>
    <w:p w14:paraId="68D2701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6、</w:t>
      </w:r>
      <w:r>
        <w:rPr>
          <w:rFonts w:hint="eastAsia" w:ascii="仿宋" w:hAnsi="仿宋" w:eastAsia="仿宋" w:cs="仿宋"/>
          <w:sz w:val="30"/>
          <w:szCs w:val="30"/>
        </w:rPr>
        <w:t>强化底线思维，防范化解风险</w:t>
      </w:r>
    </w:p>
    <w:p w14:paraId="5990FB46">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全面完成当年政府性债务化解任务，有效防范债务风险。2023年度，还本付息有序进行，政府性债务总体可控，没有发生债务风险事件。二是严控“三公”经费和其他一般性支出。按照湘政办发2020年12号文件要求进一步严格预算执行刚性，始终坚持无预算不支出的原则，特别是在今年足额安排了单位的人员待遇，大幅提高了单位公务费水平的前提下，凡属单位本职应该承担的工作，一般情况下不另行解决经费。资金安排使用遵循以下程序，先动用单位结余的财力性指标，再动用与特定工作相关联的上级转移支付指标，然后动用预算安排的专项经费，在前三项尚不能解决的情况下才批条解决，切实压缩一般性支出，确保“三保”等刚性支出需求。三是积极争取资金，缓解财政压力。2023年我们坚持与省市财政部门勤汇报、勤沟通、勤争取，平均每月到省财政厅相关领导和处室汇报我县的经济状况和财政困难，2023年我县上级补助资金达522728万元，财力性转移支付资金同口径增加18500万元。</w:t>
      </w:r>
    </w:p>
    <w:p w14:paraId="520BF078">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cs="仿宋"/>
          <w:sz w:val="30"/>
          <w:szCs w:val="30"/>
          <w:lang w:val="en-US" w:eastAsia="zh-CN"/>
        </w:rPr>
        <w:t>7、</w:t>
      </w:r>
      <w:r>
        <w:rPr>
          <w:rFonts w:hint="eastAsia" w:ascii="仿宋" w:hAnsi="仿宋" w:eastAsia="仿宋" w:cs="仿宋"/>
          <w:sz w:val="30"/>
          <w:szCs w:val="30"/>
        </w:rPr>
        <w:t>持续推进改革，提升工作质效</w:t>
      </w:r>
    </w:p>
    <w:p w14:paraId="5330E3B5">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一是积极推行预算改革。打破了几十年来的“基数加增长”预算模式，实行了零基预算。所有支出基数全部作废，由单位重新申报，没有政策依据、会议纪要、领导批示的一律不予安排。通过零基预算模式，充分保障了“三保”支出，大幅压减了单位专项经费。二是持续推进“预算管理一体化”改革。所有预算编制工作、指标接收和下达、资金的拨付等财政业务工作均通过预算管理一体化系统完成，极大提高了财政管理工作的科学性和效率性。三是推进非税票据管理改革。按照“横向到边、纵向到底”票据改革目标，我县164家非税执收单位以及纳入监管范围的国营学校、县级医院全部实现电子缴款书制样、赋码、入帐、报销等一系列全流程电子化管理，从源头上杜绝了违规使用票据、缴库不及时等的问题。2023年，共开出206120张电子票据，到账金额57287.59万元。四是推进民生资金“一卡通”补贴发放方式改革。成立专班统筹推行惠民惠农财政补贴资金“一卡通”阳光审批系统上线运行，由业务主管部门管补贴对象及发放标准，人社部门管社会保障卡的制发管理，财政部门管下达补贴资金预算指标，做到分工有序，职责分明。2023年通过社会保障卡发放惠民补贴、扶贫补贴项目13大项、102小项，发放户数共计1518333户次，发放资金55519.3万元。五是推行财政业务培训改革。创新性设立“周五课堂”，全年开展各类业务培训23次，全县各单位主要领导、财务及相关业务人员均参与培训，授课内容涵盖国资报表编制、惠农补贴发放及管理、政府采购、财会监督、绩效管理等各个方面，整体提升了我县财政业务水平。</w:t>
      </w:r>
    </w:p>
    <w:p w14:paraId="46878621">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14:paraId="46DC35D1">
      <w:pPr>
        <w:pStyle w:val="2"/>
        <w:bidi w:val="0"/>
        <w:rPr>
          <w:rFonts w:hint="eastAsia"/>
        </w:rPr>
      </w:pPr>
      <w:r>
        <w:rPr>
          <w:rFonts w:hint="eastAsia"/>
        </w:rPr>
        <w:t>七、存在的问题及原因分析</w:t>
      </w:r>
    </w:p>
    <w:p w14:paraId="2E6E8EB2">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1、财务管理工作有待加强</w:t>
      </w:r>
    </w:p>
    <w:p w14:paraId="7D45C4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cs="仿宋"/>
          <w:sz w:val="30"/>
          <w:szCs w:val="30"/>
          <w:lang w:val="en-US" w:eastAsia="zh-CN"/>
        </w:rPr>
      </w:pPr>
      <w:r>
        <w:rPr>
          <w:rFonts w:hint="default" w:ascii="Times New Roman" w:hAnsi="Times New Roman" w:cs="Times New Roman"/>
          <w:lang w:val="en-US" w:eastAsia="zh-CN"/>
        </w:rPr>
        <w:t>单位财务管理工作粗略，不利于</w:t>
      </w:r>
      <w:r>
        <w:rPr>
          <w:rFonts w:hint="eastAsia" w:ascii="Times New Roman" w:hAnsi="Times New Roman" w:cs="Times New Roman"/>
          <w:lang w:val="en-US" w:eastAsia="zh-CN"/>
        </w:rPr>
        <w:t>落实</w:t>
      </w:r>
      <w:r>
        <w:rPr>
          <w:rFonts w:hint="default" w:ascii="Times New Roman" w:hAnsi="Times New Roman" w:cs="Times New Roman"/>
          <w:lang w:val="en-US" w:eastAsia="zh-CN"/>
        </w:rPr>
        <w:t>对部门财务工作的监督管理。一是账务记录不准确，单位将基本支出计入项目支出，账务记录错误；三是项目支出摘要未与实际支出项目匹配，导致业务人员和财务人员，无法直观、确切掌握实际支出情况，影响项目跟踪监管</w:t>
      </w:r>
      <w:r>
        <w:rPr>
          <w:rFonts w:hint="eastAsia" w:ascii="仿宋" w:hAnsi="仿宋" w:cs="仿宋"/>
          <w:sz w:val="30"/>
          <w:szCs w:val="30"/>
          <w:lang w:val="en-US" w:eastAsia="zh-CN"/>
        </w:rPr>
        <w:t>。</w:t>
      </w:r>
    </w:p>
    <w:p w14:paraId="06D0536E">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lang w:val="en-US" w:eastAsia="zh-CN"/>
        </w:rPr>
      </w:pPr>
      <w:r>
        <w:rPr>
          <w:rFonts w:hint="eastAsia" w:ascii="仿宋" w:hAnsi="仿宋" w:cs="仿宋"/>
          <w:sz w:val="30"/>
          <w:szCs w:val="30"/>
          <w:lang w:val="en-US" w:eastAsia="zh-CN"/>
        </w:rPr>
        <w:t>2、</w:t>
      </w:r>
      <w:r>
        <w:rPr>
          <w:rFonts w:hint="eastAsia"/>
          <w:lang w:val="en-US" w:eastAsia="zh-CN"/>
        </w:rPr>
        <w:t>资产管理不规范</w:t>
      </w:r>
    </w:p>
    <w:p w14:paraId="02F672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lang w:val="en-US" w:eastAsia="zh-CN"/>
        </w:rPr>
      </w:pPr>
      <w:r>
        <w:rPr>
          <w:rFonts w:hint="eastAsia"/>
          <w:lang w:val="en-US" w:eastAsia="zh-CN"/>
        </w:rPr>
        <w:t>固定资产未进行年度盘点，</w:t>
      </w:r>
      <w:r>
        <w:rPr>
          <w:rFonts w:hint="default" w:ascii="Times New Roman" w:hAnsi="Times New Roman" w:cs="Times New Roman"/>
          <w:lang w:val="en-US" w:eastAsia="zh-CN"/>
        </w:rPr>
        <w:t>更新固定资产标签，未与资产编号相匹配，实物管理和账目管理不同步，导致资产信息不能够及时传递，存在疏漏</w:t>
      </w:r>
      <w:r>
        <w:rPr>
          <w:rFonts w:hint="eastAsia" w:ascii="Times New Roman" w:hAnsi="Times New Roman" w:cs="Times New Roman"/>
          <w:lang w:val="en-US" w:eastAsia="zh-CN"/>
        </w:rPr>
        <w:t>。</w:t>
      </w:r>
    </w:p>
    <w:p w14:paraId="47B5EBF1">
      <w:pPr>
        <w:pStyle w:val="2"/>
        <w:bidi w:val="0"/>
        <w:rPr>
          <w:rFonts w:hint="eastAsia"/>
        </w:rPr>
      </w:pPr>
      <w:r>
        <w:rPr>
          <w:rFonts w:hint="eastAsia"/>
        </w:rPr>
        <w:t>八、下一步改进措施</w:t>
      </w:r>
    </w:p>
    <w:p w14:paraId="3D287934">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lang w:val="en-US" w:eastAsia="zh-CN"/>
        </w:rPr>
      </w:pPr>
      <w:r>
        <w:rPr>
          <w:rFonts w:hint="eastAsia" w:ascii="仿宋" w:hAnsi="仿宋" w:cs="仿宋"/>
          <w:sz w:val="30"/>
          <w:szCs w:val="30"/>
          <w:lang w:val="en-US" w:eastAsia="zh-CN"/>
        </w:rPr>
        <w:t>1、</w:t>
      </w:r>
      <w:r>
        <w:rPr>
          <w:rFonts w:hint="eastAsia"/>
          <w:lang w:val="en-US" w:eastAsia="zh-CN"/>
        </w:rPr>
        <w:t>进一步规范项目资金列支</w:t>
      </w:r>
    </w:p>
    <w:p w14:paraId="5CF8E98F">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建议按照《预算法》“各部门、各单位应当按照国务院财政部门制定的政府收支分类科目、预算支出标准和要求”进一步加强财务审核，规范项目资金支出，并按照本项目的要求与计划，专款专用，规范资金的用途，提高财务管理水平。</w:t>
      </w:r>
    </w:p>
    <w:p w14:paraId="13B450A9">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r>
        <w:rPr>
          <w:rFonts w:hint="eastAsia" w:ascii="仿宋" w:hAnsi="仿宋" w:cs="仿宋"/>
          <w:sz w:val="30"/>
          <w:szCs w:val="30"/>
          <w:lang w:val="en-US" w:eastAsia="zh-CN"/>
        </w:rPr>
        <w:t>2、重视资产管理，提高资产使用效率</w:t>
      </w:r>
    </w:p>
    <w:p w14:paraId="6A5D48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cs="仿宋"/>
          <w:sz w:val="30"/>
          <w:szCs w:val="30"/>
          <w:lang w:val="en-US" w:eastAsia="zh-CN"/>
        </w:rPr>
      </w:pPr>
      <w:r>
        <w:rPr>
          <w:rFonts w:hint="default" w:ascii="Times New Roman" w:hAnsi="Times New Roman" w:cs="Times New Roman"/>
          <w:lang w:val="en-US" w:eastAsia="zh-CN"/>
        </w:rPr>
        <w:t>组织对闲置固定资产进行专门清查，对长期积压的待报废资产和已毁损无法使用资产，应当在清查盘点中重点标注，并根据实际及时处置。长期低效运转、闲置资产，应当推进共享共用和调剂使用，盘活存量资产，提高资产使用效率；要进一步健全固定资产台账，完备实物信息资料，对固定资产定期进行清查盘点，真实反映固定资产的数量和增减变化情况，对财务部门入账登记的新增资产和报废处理的资产及时进行核对、确认，确保实物账与财务账相符</w:t>
      </w:r>
      <w:r>
        <w:rPr>
          <w:rFonts w:hint="eastAsia" w:ascii="Times New Roman" w:hAnsi="Times New Roman" w:cs="Times New Roman"/>
          <w:lang w:val="en-US" w:eastAsia="zh-CN"/>
        </w:rPr>
        <w:t>。</w:t>
      </w:r>
    </w:p>
    <w:p w14:paraId="686BA01B">
      <w:pPr>
        <w:pStyle w:val="2"/>
        <w:bidi w:val="0"/>
        <w:rPr>
          <w:rFonts w:hint="eastAsia"/>
        </w:rPr>
      </w:pPr>
      <w:r>
        <w:rPr>
          <w:rFonts w:hint="eastAsia"/>
        </w:rPr>
        <w:t>九、其他需要说明的情况</w:t>
      </w:r>
    </w:p>
    <w:p w14:paraId="057F75ED">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lang w:val="en-US" w:eastAsia="zh-CN"/>
        </w:rPr>
      </w:pPr>
      <w:r>
        <w:rPr>
          <w:rFonts w:hint="eastAsia" w:ascii="仿宋" w:hAnsi="仿宋" w:cs="仿宋"/>
          <w:sz w:val="30"/>
          <w:szCs w:val="30"/>
          <w:lang w:val="en-US" w:eastAsia="zh-CN"/>
        </w:rPr>
        <w:t>无。</w:t>
      </w:r>
    </w:p>
    <w:p w14:paraId="488EF829">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14:paraId="665BBC72">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报告应包括以下附件：</w:t>
      </w:r>
    </w:p>
    <w:p w14:paraId="5534C926">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1、部门整体支出绩效评价基础数据表</w:t>
      </w:r>
    </w:p>
    <w:p w14:paraId="72139B6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2、部门整体支出绩效自评表</w:t>
      </w:r>
    </w:p>
    <w:p w14:paraId="222210EC">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14:paraId="425EB73A">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sectPr>
          <w:pgSz w:w="11906" w:h="16838"/>
          <w:pgMar w:top="2098" w:right="1474" w:bottom="1984" w:left="1587" w:header="851" w:footer="992" w:gutter="0"/>
          <w:cols w:space="425" w:num="1"/>
          <w:docGrid w:type="lines" w:linePitch="312" w:charSpace="0"/>
        </w:sectPr>
      </w:pPr>
    </w:p>
    <w:p w14:paraId="1A7843B6">
      <w:pPr>
        <w:pStyle w:val="3"/>
        <w:bidi w:val="0"/>
        <w:rPr>
          <w:rFonts w:hint="eastAsia"/>
          <w:lang w:val="en-US" w:eastAsia="zh-CN"/>
        </w:rPr>
      </w:pPr>
      <w:r>
        <w:rPr>
          <w:rFonts w:hint="eastAsia"/>
          <w:lang w:val="en-US" w:eastAsia="zh-CN"/>
        </w:rPr>
        <w:t>附件1</w:t>
      </w:r>
    </w:p>
    <w:p w14:paraId="0A3D2E0C">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rPr>
        <w:t>部门整体支出绩效评价基础数据表</w:t>
      </w:r>
    </w:p>
    <w:tbl>
      <w:tblPr>
        <w:tblStyle w:val="11"/>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0"/>
        <w:gridCol w:w="897"/>
        <w:gridCol w:w="880"/>
        <w:gridCol w:w="1060"/>
        <w:gridCol w:w="1043"/>
        <w:gridCol w:w="1018"/>
        <w:gridCol w:w="1148"/>
      </w:tblGrid>
      <w:tr w14:paraId="0D43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72A3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财政供养人员情况</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4FD6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编制数</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A218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2023年实际在职人数</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DFBE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控制率</w:t>
            </w:r>
          </w:p>
        </w:tc>
      </w:tr>
      <w:tr w14:paraId="7D1F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D07E">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5F7D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144</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843A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128</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6A98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88.89%</w:t>
            </w:r>
          </w:p>
        </w:tc>
      </w:tr>
      <w:tr w14:paraId="46C2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99A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经费控制情况(万元)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4F83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2022年决算数</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9C4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2023年预算数</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2FF3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2023年决算数</w:t>
            </w:r>
          </w:p>
        </w:tc>
      </w:tr>
      <w:tr w14:paraId="187C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E55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三公经费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87FF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C5CB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986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14.92</w:t>
            </w:r>
          </w:p>
        </w:tc>
      </w:tr>
      <w:tr w14:paraId="743C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72AF">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1、公务用车购置和维护经费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9F0C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1782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CE5D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01B5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B8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其中：公车购置</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6D15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1835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399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70ED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C48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公车运行维护</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3BF7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A3BB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7AE1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3120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171">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2、出国经费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F1D6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9966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9C42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5762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BB77">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3、公务接待</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ED94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969F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082B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14.92</w:t>
            </w:r>
          </w:p>
        </w:tc>
      </w:tr>
      <w:tr w14:paraId="6CCF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CB40">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项目支出：</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BD63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C56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F198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4D48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B68D">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1、业务工作经费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46B7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276C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35D2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284C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F39D">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2、运行维护经费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CB7A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DBD9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897A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2957D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9969">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3、本级专项资金（一个专项一行）</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9330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A31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5463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5184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ADC1">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公用经费：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AB2C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883.45</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2E26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368.74</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4FA0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1734.73</w:t>
            </w:r>
          </w:p>
        </w:tc>
      </w:tr>
      <w:tr w14:paraId="0CB3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9E8">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其中：办公经费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330B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42.78</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2EC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9F4C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68.14</w:t>
            </w:r>
          </w:p>
        </w:tc>
      </w:tr>
      <w:tr w14:paraId="12B0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12B8">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水费、电费、差旅费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B572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230.1</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2939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4967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157.56</w:t>
            </w:r>
          </w:p>
        </w:tc>
      </w:tr>
      <w:tr w14:paraId="1912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115">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      会议费、培训费</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3A62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7.71</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9252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6</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D5D3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33.04</w:t>
            </w:r>
          </w:p>
        </w:tc>
      </w:tr>
      <w:tr w14:paraId="5CCE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89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政府采购金额</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9F43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C60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10</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24F0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187.75</w:t>
            </w:r>
          </w:p>
        </w:tc>
      </w:tr>
      <w:tr w14:paraId="59B1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D53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部门基本支出预算调整</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67065">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2A40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1723.41</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D07F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0</w:t>
            </w:r>
          </w:p>
        </w:tc>
      </w:tr>
      <w:tr w14:paraId="145F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37F9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 xml:space="preserve">楼堂馆所控制情况 </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（2023年完工项目）</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45B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 xml:space="preserve">批复规模 </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97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实际规模</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BDB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规模控制率（%）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E4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预算投资</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875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实际投资</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5E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投资概算控制率</w:t>
            </w:r>
            <w:r>
              <w:rPr>
                <w:rFonts w:hint="eastAsia" w:ascii="仿宋_GB2312" w:hAnsi="仿宋_GB2312" w:eastAsia="仿宋_GB2312" w:cs="仿宋_GB2312"/>
                <w:b/>
                <w:bCs/>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b/>
                <w:bCs/>
                <w:i w:val="0"/>
                <w:iCs w:val="0"/>
                <w:snapToGrid w:val="0"/>
                <w:color w:val="000000"/>
                <w:kern w:val="0"/>
                <w:sz w:val="21"/>
                <w:szCs w:val="21"/>
                <w:u w:val="none"/>
                <w:lang w:val="en-US" w:eastAsia="zh-CN" w:bidi="ar"/>
              </w:rPr>
              <w:t>（%）</w:t>
            </w:r>
          </w:p>
        </w:tc>
      </w:tr>
      <w:tr w14:paraId="5060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1FA1">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14BE">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37B">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9D7F">
            <w:pPr>
              <w:keepNext w:val="0"/>
              <w:keepLines w:val="0"/>
              <w:pageBreakBefore w:val="0"/>
              <w:widowControl/>
              <w:wordWrap/>
              <w:overflowPunct/>
              <w:topLinePunct w:val="0"/>
              <w:bidi w:val="0"/>
              <w:spacing w:line="240" w:lineRule="auto"/>
              <w:ind w:firstLine="0" w:firstLineChars="0"/>
              <w:jc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C60">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3C22">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8F29">
            <w:pPr>
              <w:keepNext w:val="0"/>
              <w:keepLines w:val="0"/>
              <w:pageBreakBefore w:val="0"/>
              <w:widowControl/>
              <w:wordWrap/>
              <w:overflowPunct/>
              <w:topLinePunct w:val="0"/>
              <w:bidi w:val="0"/>
              <w:spacing w:line="240" w:lineRule="auto"/>
              <w:ind w:firstLine="0" w:firstLineChars="0"/>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100%</w:t>
            </w:r>
          </w:p>
        </w:tc>
      </w:tr>
      <w:tr w14:paraId="2231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90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厉行节约保障措施</w:t>
            </w:r>
          </w:p>
        </w:tc>
        <w:tc>
          <w:tcPr>
            <w:tcW w:w="60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088F76">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严格按照预算数执行，“三公经费”支出控制有力，总体效果较好；</w:t>
            </w:r>
            <w:r>
              <w:rPr>
                <w:rFonts w:hint="eastAsia" w:ascii="仿宋_GB2312" w:hAnsi="仿宋_GB2312" w:eastAsia="仿宋_GB2312" w:cs="仿宋_GB2312"/>
                <w:i w:val="0"/>
                <w:iCs w:val="0"/>
                <w:snapToGrid w:val="0"/>
                <w:color w:val="000000"/>
                <w:kern w:val="0"/>
                <w:sz w:val="21"/>
                <w:szCs w:val="21"/>
                <w:u w:val="none"/>
                <w:lang w:val="en-US" w:eastAsia="zh-CN" w:bidi="ar"/>
              </w:rPr>
              <w:br w:type="textWrapping"/>
            </w:r>
            <w:r>
              <w:rPr>
                <w:rFonts w:hint="eastAsia" w:ascii="仿宋_GB2312" w:hAnsi="仿宋_GB2312" w:eastAsia="仿宋_GB2312" w:cs="仿宋_GB2312"/>
                <w:i w:val="0"/>
                <w:iCs w:val="0"/>
                <w:snapToGrid w:val="0"/>
                <w:color w:val="000000"/>
                <w:kern w:val="0"/>
                <w:sz w:val="21"/>
                <w:szCs w:val="21"/>
                <w:u w:val="none"/>
                <w:lang w:val="en-US" w:eastAsia="zh-CN" w:bidi="ar"/>
              </w:rPr>
              <w:t>严格控制办公经费支出。</w:t>
            </w:r>
          </w:p>
        </w:tc>
      </w:tr>
    </w:tbl>
    <w:p w14:paraId="16698F5C">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p>
    <w:p w14:paraId="7B31E883">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pPr>
    </w:p>
    <w:p w14:paraId="7ED02239">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cs="仿宋"/>
          <w:sz w:val="30"/>
          <w:szCs w:val="30"/>
          <w:lang w:val="en-US" w:eastAsia="zh-CN"/>
        </w:rPr>
        <w:sectPr>
          <w:pgSz w:w="11906" w:h="16838"/>
          <w:pgMar w:top="2098" w:right="1474" w:bottom="1984" w:left="1587" w:header="851" w:footer="992" w:gutter="0"/>
          <w:cols w:space="425" w:num="1"/>
          <w:docGrid w:type="lines" w:linePitch="312" w:charSpace="0"/>
        </w:sectPr>
      </w:pPr>
    </w:p>
    <w:p w14:paraId="1922BED4">
      <w:pPr>
        <w:pStyle w:val="3"/>
        <w:bidi w:val="0"/>
        <w:rPr>
          <w:rFonts w:hint="default"/>
          <w:lang w:val="en-US" w:eastAsia="zh-CN"/>
        </w:rPr>
      </w:pPr>
      <w:r>
        <w:rPr>
          <w:rFonts w:hint="eastAsia"/>
          <w:lang w:val="en-US" w:eastAsia="zh-CN"/>
        </w:rPr>
        <w:t>附件2</w:t>
      </w:r>
    </w:p>
    <w:p w14:paraId="3F736BC6">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部门整体支出绩效自评表</w:t>
      </w:r>
    </w:p>
    <w:tbl>
      <w:tblPr>
        <w:tblStyle w:val="11"/>
        <w:tblW w:w="12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806"/>
        <w:gridCol w:w="1232"/>
        <w:gridCol w:w="2004"/>
        <w:gridCol w:w="1740"/>
        <w:gridCol w:w="1190"/>
        <w:gridCol w:w="423"/>
        <w:gridCol w:w="807"/>
        <w:gridCol w:w="820"/>
        <w:gridCol w:w="1139"/>
        <w:gridCol w:w="1191"/>
        <w:gridCol w:w="812"/>
      </w:tblGrid>
      <w:tr w14:paraId="45FE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336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snapToGrid w:val="0"/>
                <w:color w:val="000000"/>
                <w:kern w:val="0"/>
                <w:sz w:val="22"/>
                <w:szCs w:val="22"/>
                <w:u w:val="none"/>
                <w:lang w:val="en-US" w:eastAsia="zh-CN" w:bidi="ar"/>
              </w:rPr>
              <w:t>预算部门名称</w:t>
            </w:r>
          </w:p>
        </w:tc>
        <w:tc>
          <w:tcPr>
            <w:tcW w:w="1012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FD2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邵阳县财政局机关本级</w:t>
            </w:r>
          </w:p>
        </w:tc>
      </w:tr>
      <w:tr w14:paraId="4C36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7583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年度预算申请</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(万元)</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542D">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F9E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年初预算数(万元)</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454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全年预算数（万元）</w:t>
            </w: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795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全年执行数（万元）</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14F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分值</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48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执行率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8CA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得分</w:t>
            </w:r>
          </w:p>
        </w:tc>
      </w:tr>
      <w:tr w14:paraId="0CE8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CB5E">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50C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年度资金总额：</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3DC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2284.49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317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6081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26B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F9A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29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w:t>
            </w:r>
          </w:p>
        </w:tc>
      </w:tr>
      <w:tr w14:paraId="0B63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061F">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6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E4756A">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按收入性质分：</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3AE5A">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按支出性质分：</w:t>
            </w:r>
          </w:p>
        </w:tc>
      </w:tr>
      <w:tr w14:paraId="241A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2FBD">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947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一般公共预算：</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255C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C6EC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其中:基本支出：</w:t>
            </w:r>
          </w:p>
        </w:tc>
        <w:tc>
          <w:tcPr>
            <w:tcW w:w="2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21B5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w:t>
            </w:r>
          </w:p>
        </w:tc>
      </w:tr>
      <w:tr w14:paraId="69FF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F1C8">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E7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政府性基金拨款：</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6D34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810FC">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2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1905">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14:paraId="391A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BAAB">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A0B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纳入专户管理的非税收入拨款：</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05200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3FE4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 xml:space="preserve">    项目支出：</w:t>
            </w:r>
          </w:p>
        </w:tc>
        <w:tc>
          <w:tcPr>
            <w:tcW w:w="20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965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r>
      <w:tr w14:paraId="0680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60571">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B5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其他资金:</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A070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8F800">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20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4C53B">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14:paraId="75E9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62E8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年度总体目标</w:t>
            </w:r>
          </w:p>
        </w:tc>
        <w:tc>
          <w:tcPr>
            <w:tcW w:w="6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56973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预期目标</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6E1A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实际完成情况</w:t>
            </w:r>
          </w:p>
        </w:tc>
      </w:tr>
      <w:tr w14:paraId="3AAE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8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EE7F8">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6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828933">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目标1：加强日常财政监管，努力提高财政资金分配使用的安全性、规范性和有性；</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目标2：抓好财政专项检查，着力解决财经领域存在的突出问题；</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目标3：做实内控日常执行。层层压实责任，强化内控日常执行；</w:t>
            </w:r>
            <w:r>
              <w:rPr>
                <w:rFonts w:hint="eastAsia" w:ascii="仿宋_GB2312" w:hAnsi="宋体" w:eastAsia="仿宋_GB2312" w:cs="仿宋_GB2312"/>
                <w:i w:val="0"/>
                <w:iCs w:val="0"/>
                <w:snapToGrid w:val="0"/>
                <w:color w:val="000000"/>
                <w:kern w:val="0"/>
                <w:sz w:val="20"/>
                <w:szCs w:val="20"/>
                <w:u w:val="none"/>
                <w:lang w:val="en-US" w:eastAsia="zh-CN" w:bidi="ar"/>
              </w:rPr>
              <w:br w:type="textWrapping"/>
            </w:r>
            <w:r>
              <w:rPr>
                <w:rFonts w:hint="eastAsia" w:ascii="仿宋_GB2312" w:hAnsi="宋体" w:eastAsia="仿宋_GB2312" w:cs="仿宋_GB2312"/>
                <w:i w:val="0"/>
                <w:iCs w:val="0"/>
                <w:snapToGrid w:val="0"/>
                <w:color w:val="000000"/>
                <w:kern w:val="0"/>
                <w:sz w:val="20"/>
                <w:szCs w:val="20"/>
                <w:u w:val="none"/>
                <w:lang w:val="en-US" w:eastAsia="zh-CN" w:bidi="ar"/>
              </w:rPr>
              <w:t>目标4：做好“互联网+政务服务”一体化平台政务服务事项和“互联网+监督”的公布事项，提高部门信息公开力度。</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4894F">
            <w:pPr>
              <w:keepNext w:val="0"/>
              <w:keepLines w:val="0"/>
              <w:pageBreakBefore w:val="0"/>
              <w:widowControl/>
              <w:suppressLineNumbers w:val="0"/>
              <w:wordWrap/>
              <w:overflowPunct/>
              <w:topLinePunct w:val="0"/>
              <w:bidi w:val="0"/>
              <w:spacing w:line="240" w:lineRule="auto"/>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通过签约招商引资项目50个、财政投资评审351个项目，驻村帮扶4个行政村，发放政府采购编号项目426个……各项工作通过验收、检查，提高财政资金的使用效率。</w:t>
            </w:r>
          </w:p>
        </w:tc>
      </w:tr>
      <w:tr w14:paraId="67A0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EF5C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绩效指标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616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一级指标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45B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snapToGrid w:val="0"/>
                <w:color w:val="000000"/>
                <w:kern w:val="0"/>
                <w:sz w:val="22"/>
                <w:szCs w:val="22"/>
                <w:u w:val="none"/>
                <w:lang w:val="en-US" w:eastAsia="zh-CN" w:bidi="ar"/>
              </w:rPr>
              <w:t>二级指标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BDF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三级指标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380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年度指标值</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F75E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实际完成值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9CC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分值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0FD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snapToGrid w:val="0"/>
                <w:color w:val="000000"/>
                <w:kern w:val="0"/>
                <w:sz w:val="20"/>
                <w:szCs w:val="20"/>
                <w:u w:val="none"/>
                <w:lang w:val="en-US" w:eastAsia="zh-CN" w:bidi="ar"/>
              </w:rPr>
              <w:t>得分</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EAB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snapToGrid w:val="0"/>
                <w:color w:val="000000"/>
                <w:kern w:val="0"/>
                <w:sz w:val="22"/>
                <w:szCs w:val="22"/>
                <w:u w:val="none"/>
                <w:lang w:val="en-US" w:eastAsia="zh-CN" w:bidi="ar"/>
              </w:rPr>
              <w:t>偏差原因分析及改进措施</w:t>
            </w:r>
          </w:p>
        </w:tc>
      </w:tr>
      <w:tr w14:paraId="6601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690D2">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A28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成本指标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362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经济成本指标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11B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部门预算支出金额</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690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≤3907.9万元</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3562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3907.9万元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ABE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73A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6</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04A">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03D3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3348">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5B7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E3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数量指标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D60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签约招商引资项目数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CB4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≥40个</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9799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50个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379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11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1709">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1DDA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EA44">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1F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B4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数量指标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203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财政投资评审项目数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520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≥300个</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379E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351个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742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C13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DA6D">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367A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21DA">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A1C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C31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数量指标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DDB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驻村帮扶行政村数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EC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≥3个</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321B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4个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78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E6C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4E2C">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02D9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6BEBF">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A3F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3B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质量指标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E19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验收合格率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42E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AC7E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D12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6E9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1746">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16B5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0165">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BED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140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质量指标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E0D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检查通过率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182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A988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FB7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021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ABB4">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1E02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61B5">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5A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D6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质量指标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C4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资金审减率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B8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≥3%</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66DC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8.26%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7AB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BDF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0A78">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341D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0C86B">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B41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B8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时效指标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75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验收及时率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32B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B563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5EA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10C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0222">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21CA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F0B8">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45D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16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时效指标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413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检查及时率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2F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7852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FDD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9A7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2546">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1C0F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AA54">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B5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产出指标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24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时效指标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5BA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财政投资评审完成及时率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84B8">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2D435">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315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B78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419F">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0EF9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72E5">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D9D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21F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社会效益指标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C81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提高财政资金宏观调控能力</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01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8CBF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386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97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811A">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3E24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9ECF0">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15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330">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社会效益指标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F77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提高财政资金的使用效率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783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B79C2">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提高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F424">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3AC">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8EC0">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6088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D536E">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679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满意度指标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A26A">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服务对象满意度指标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52B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群众满意度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261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≥95%</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27153">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660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59B">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12</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4454">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r w14:paraId="5CE5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810C5">
            <w:pPr>
              <w:keepNext w:val="0"/>
              <w:keepLines w:val="0"/>
              <w:pageBreakBefore w:val="0"/>
              <w:widowControl/>
              <w:wordWrap/>
              <w:overflowPunct/>
              <w:topLinePunct w:val="0"/>
              <w:bidi w:val="0"/>
              <w:spacing w:line="240" w:lineRule="auto"/>
              <w:ind w:firstLine="0" w:firstLineChars="0"/>
              <w:jc w:val="center"/>
              <w:rPr>
                <w:rFonts w:hint="eastAsia" w:ascii="仿宋_GB2312" w:hAnsi="宋体" w:eastAsia="仿宋_GB2312" w:cs="仿宋_GB2312"/>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D26">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满意度指标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2DC1">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snapToGrid w:val="0"/>
                <w:color w:val="000000"/>
                <w:kern w:val="0"/>
                <w:sz w:val="22"/>
                <w:szCs w:val="22"/>
                <w:u w:val="none"/>
                <w:lang w:val="en-US" w:eastAsia="zh-CN" w:bidi="ar"/>
              </w:rPr>
              <w:t>服务对象满意度指标</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F0E">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主管部门满意度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443F">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≥95%</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B1E9D">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209">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9707">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9316">
            <w:pPr>
              <w:keepNext w:val="0"/>
              <w:keepLines w:val="0"/>
              <w:pageBreakBefore w:val="0"/>
              <w:widowControl/>
              <w:wordWrap/>
              <w:overflowPunct/>
              <w:topLinePunct w:val="0"/>
              <w:bidi w:val="0"/>
              <w:spacing w:line="240" w:lineRule="auto"/>
              <w:ind w:firstLine="0" w:firstLineChars="0"/>
              <w:jc w:val="left"/>
              <w:rPr>
                <w:rFonts w:hint="eastAsia" w:ascii="仿宋_GB2312" w:hAnsi="宋体" w:eastAsia="仿宋_GB2312" w:cs="仿宋_GB2312"/>
                <w:i w:val="0"/>
                <w:iCs w:val="0"/>
                <w:color w:val="000000"/>
                <w:sz w:val="22"/>
                <w:szCs w:val="22"/>
                <w:u w:val="none"/>
              </w:rPr>
            </w:pPr>
          </w:p>
        </w:tc>
      </w:tr>
    </w:tbl>
    <w:p w14:paraId="63DF7E17">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p w14:paraId="0BE4910F">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 w:hAnsi="仿宋" w:eastAsia="仿宋" w:cs="仿宋"/>
          <w:sz w:val="30"/>
          <w:szCs w:val="30"/>
        </w:rPr>
      </w:pPr>
    </w:p>
    <w:sectPr>
      <w:pgSz w:w="16838" w:h="11906" w:orient="landscape"/>
      <w:pgMar w:top="1587" w:right="2098" w:bottom="1474" w:left="198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2D0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03D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717AC">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B717AC">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A1A1693"/>
    <w:rsid w:val="187638F4"/>
    <w:rsid w:val="36F32938"/>
    <w:rsid w:val="45690E96"/>
    <w:rsid w:val="77AD4011"/>
    <w:rsid w:val="7E5E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560" w:lineRule="exact"/>
      <w:ind w:firstLine="420" w:firstLineChars="200"/>
      <w:jc w:val="left"/>
      <w:textAlignment w:val="baseline"/>
    </w:pPr>
    <w:rPr>
      <w:rFonts w:ascii="Arial" w:hAnsi="Arial" w:eastAsia="仿宋"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Lines="0" w:beforeAutospacing="0" w:afterLines="0" w:afterAutospacing="0" w:line="560" w:lineRule="exact"/>
      <w:ind w:firstLine="775" w:firstLineChars="200"/>
      <w:outlineLvl w:val="0"/>
    </w:pPr>
    <w:rPr>
      <w:rFonts w:ascii="Arial" w:hAnsi="Arial" w:eastAsia="黑体"/>
      <w:b/>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ind w:firstLine="420" w:firstLineChars="200"/>
      <w:outlineLvl w:val="1"/>
    </w:pPr>
    <w:rPr>
      <w:rFonts w:ascii="Arial" w:hAnsi="Arial" w:eastAsia="楷体"/>
      <w:b/>
      <w:sz w:val="32"/>
    </w:rPr>
  </w:style>
  <w:style w:type="paragraph" w:styleId="4">
    <w:name w:val="heading 3"/>
    <w:basedOn w:val="1"/>
    <w:next w:val="1"/>
    <w:unhideWhenUsed/>
    <w:qFormat/>
    <w:uiPriority w:val="0"/>
    <w:pPr>
      <w:keepNext/>
      <w:keepLines/>
      <w:spacing w:beforeLines="0" w:beforeAutospacing="0" w:afterLines="0" w:afterAutospacing="0" w:line="560" w:lineRule="exact"/>
      <w:ind w:firstLine="420" w:firstLineChars="200"/>
      <w:outlineLvl w:val="2"/>
    </w:pPr>
    <w:rPr>
      <w:rFonts w:ascii="Arial" w:hAnsi="Arial" w:eastAsia="仿宋"/>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5"/>
      <w:szCs w:val="35"/>
      <w:lang w:val="en-US" w:eastAsia="en-US" w:bidi="ar-SA"/>
    </w:rPr>
  </w:style>
  <w:style w:type="paragraph" w:styleId="6">
    <w:name w:val="Body Text Indent"/>
    <w:basedOn w:val="1"/>
    <w:qFormat/>
    <w:uiPriority w:val="0"/>
    <w:pPr>
      <w:spacing w:after="120"/>
      <w:ind w:left="420" w:leftChars="200"/>
    </w:p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rPr>
      <w:rFonts w:ascii="Times New Roman" w:hAnsi="Times New Roman"/>
      <w:sz w:val="24"/>
      <w:szCs w:val="24"/>
    </w:rPr>
  </w:style>
  <w:style w:type="paragraph" w:styleId="10">
    <w:name w:val="Body Text First Indent 2"/>
    <w:basedOn w:val="6"/>
    <w:qFormat/>
    <w:uiPriority w:val="0"/>
    <w:pPr>
      <w:spacing w:before="100" w:beforeAutospacing="1" w:after="0"/>
      <w:ind w:firstLine="420" w:firstLineChars="200"/>
    </w:p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10491</Words>
  <Characters>11505</Characters>
  <Lines>0</Lines>
  <Paragraphs>0</Paragraphs>
  <TotalTime>102</TotalTime>
  <ScaleCrop>false</ScaleCrop>
  <LinksUpToDate>false</LinksUpToDate>
  <CharactersWithSpaces>11595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2024-09-06T03:01:00Z</dcterms:created>
  <dc:creator>hw</dc:creator>
  <cp:lastModifiedBy>⁼³₌₃</cp:lastModifiedBy>
  <cp:lastPrinted>2024-11-08T02:21:00Z</cp:lastPrinted>
  <dcterms:modified xsi:type="dcterms:W3CDTF">2025-09-22T08:05:04Z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2606B2C4FB0949CC93659D6D5BC1BBE9_12</vt:lpwstr>
  </property>
  <property fmtid="{D5CDD505-2E9C-101B-9397-08002B2CF9AE}" pid="4" name="KSOTemplateDocerSaveRecord">
    <vt:lpwstr>eyJoZGlkIjoiMThhYmIzZTg1YmYzZDVlNWU0NjM4ZTFjNmJjODIyY2YiLCJ1c2VySWQiOiI0NjE4MDc5MzYifQ==</vt:lpwstr>
  </property>
</Properties>
</file>