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595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14:paraId="751002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14:paraId="0B43D7EE">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14:paraId="599D0CA1">
      <w:pPr>
        <w:rPr>
          <w:rFonts w:eastAsia="黑体"/>
          <w:sz w:val="44"/>
        </w:rPr>
      </w:pPr>
    </w:p>
    <w:p w14:paraId="6D3A2D50">
      <w:pPr>
        <w:rPr>
          <w:rFonts w:eastAsia="黑体"/>
          <w:sz w:val="44"/>
        </w:rPr>
      </w:pPr>
    </w:p>
    <w:p w14:paraId="05820EB8">
      <w:pPr>
        <w:jc w:val="center"/>
        <w:rPr>
          <w:rFonts w:ascii="宋体" w:hAnsi="宋体"/>
          <w:sz w:val="44"/>
          <w:szCs w:val="44"/>
        </w:rPr>
      </w:pPr>
    </w:p>
    <w:p w14:paraId="6312A0F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14:paraId="1CC0CF1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14:paraId="3221104D">
      <w:pPr>
        <w:jc w:val="center"/>
        <w:rPr>
          <w:rFonts w:ascii="宋体" w:hAnsi="宋体"/>
          <w:sz w:val="44"/>
          <w:szCs w:val="44"/>
        </w:rPr>
      </w:pPr>
    </w:p>
    <w:p w14:paraId="445B831E">
      <w:pPr>
        <w:spacing w:line="600" w:lineRule="exact"/>
        <w:rPr>
          <w:sz w:val="36"/>
        </w:rPr>
      </w:pPr>
    </w:p>
    <w:p w14:paraId="037A6D7F">
      <w:pPr>
        <w:spacing w:line="600" w:lineRule="exact"/>
        <w:rPr>
          <w:sz w:val="36"/>
        </w:rPr>
      </w:pPr>
    </w:p>
    <w:p w14:paraId="06FA1BAC">
      <w:pPr>
        <w:spacing w:line="600" w:lineRule="exact"/>
        <w:rPr>
          <w:sz w:val="36"/>
        </w:rPr>
      </w:pPr>
    </w:p>
    <w:p w14:paraId="2622CC8B">
      <w:pPr>
        <w:spacing w:line="600" w:lineRule="exact"/>
        <w:rPr>
          <w:sz w:val="36"/>
        </w:rPr>
      </w:pPr>
    </w:p>
    <w:p w14:paraId="4B619055">
      <w:pPr>
        <w:spacing w:line="600" w:lineRule="exact"/>
        <w:rPr>
          <w:sz w:val="36"/>
        </w:rPr>
      </w:pPr>
    </w:p>
    <w:p w14:paraId="77D58CA5">
      <w:pPr>
        <w:spacing w:line="600" w:lineRule="exact"/>
        <w:rPr>
          <w:sz w:val="36"/>
        </w:rPr>
      </w:pPr>
    </w:p>
    <w:p w14:paraId="3CEDC521">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val="en-US" w:eastAsia="zh-CN"/>
        </w:rPr>
        <w:t>邵阳县档案馆</w:t>
      </w:r>
      <w:r>
        <w:rPr>
          <w:rFonts w:hint="eastAsia"/>
          <w:b/>
          <w:bCs/>
          <w:sz w:val="32"/>
          <w:szCs w:val="32"/>
          <w:u w:val="single"/>
        </w:rPr>
        <w:t>　</w:t>
      </w:r>
      <w:r>
        <w:rPr>
          <w:rFonts w:hint="eastAsia"/>
          <w:bCs/>
          <w:sz w:val="32"/>
          <w:szCs w:val="32"/>
        </w:rPr>
        <w:t>（单位公章）</w:t>
      </w:r>
    </w:p>
    <w:p w14:paraId="02D79337">
      <w:pPr>
        <w:spacing w:line="600" w:lineRule="exact"/>
      </w:pPr>
    </w:p>
    <w:p w14:paraId="6BB5630C">
      <w:pPr>
        <w:spacing w:line="600" w:lineRule="exact"/>
      </w:pPr>
    </w:p>
    <w:p w14:paraId="01828DC5">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12</w:t>
      </w:r>
      <w:r>
        <w:rPr>
          <w:rFonts w:hint="eastAsia" w:ascii="楷体" w:hAnsi="楷体" w:eastAsia="楷体" w:cs="楷体"/>
          <w:sz w:val="36"/>
        </w:rPr>
        <w:t>日</w:t>
      </w:r>
    </w:p>
    <w:p w14:paraId="6F3E53E0">
      <w:pPr>
        <w:spacing w:line="600" w:lineRule="exact"/>
        <w:jc w:val="center"/>
        <w:rPr>
          <w:rFonts w:hint="eastAsia" w:ascii="楷体" w:hAnsi="楷体" w:eastAsia="楷体" w:cs="楷体"/>
          <w:sz w:val="36"/>
        </w:rPr>
      </w:pPr>
    </w:p>
    <w:p w14:paraId="7422C2EB">
      <w:pPr>
        <w:spacing w:line="600" w:lineRule="exact"/>
        <w:rPr>
          <w:rFonts w:eastAsia="仿宋_GB2312"/>
          <w:sz w:val="28"/>
          <w:szCs w:val="28"/>
        </w:rPr>
      </w:pPr>
    </w:p>
    <w:p w14:paraId="3BF4BA19">
      <w:pPr>
        <w:pStyle w:val="2"/>
        <w:rPr>
          <w:rFonts w:eastAsia="仿宋_GB2312"/>
          <w:sz w:val="28"/>
          <w:szCs w:val="28"/>
        </w:rPr>
      </w:pPr>
    </w:p>
    <w:p w14:paraId="19D2E90D">
      <w:pPr>
        <w:pStyle w:val="2"/>
        <w:rPr>
          <w:rFonts w:eastAsia="仿宋_GB2312"/>
          <w:sz w:val="28"/>
          <w:szCs w:val="28"/>
        </w:rPr>
      </w:pPr>
    </w:p>
    <w:p w14:paraId="3310C986">
      <w:pPr>
        <w:pStyle w:val="2"/>
        <w:rPr>
          <w:rFonts w:eastAsia="仿宋_GB2312"/>
          <w:sz w:val="28"/>
          <w:szCs w:val="28"/>
        </w:rPr>
      </w:pPr>
    </w:p>
    <w:p w14:paraId="793B3A1F">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14:paraId="42EF437C">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14:paraId="6EEF61B9">
      <w:pPr>
        <w:adjustRightInd w:val="0"/>
        <w:spacing w:line="600" w:lineRule="exact"/>
        <w:ind w:right="641"/>
        <w:rPr>
          <w:rFonts w:eastAsia="仿宋_GB2312"/>
          <w:sz w:val="32"/>
          <w:szCs w:val="32"/>
        </w:rPr>
      </w:pPr>
    </w:p>
    <w:p w14:paraId="7DBBB1FC">
      <w:pPr>
        <w:adjustRightInd w:val="0"/>
        <w:spacing w:line="600" w:lineRule="exact"/>
        <w:ind w:right="641"/>
        <w:rPr>
          <w:rFonts w:eastAsia="仿宋_GB2312"/>
          <w:sz w:val="32"/>
          <w:szCs w:val="32"/>
        </w:rPr>
      </w:pPr>
    </w:p>
    <w:p w14:paraId="7D6B03D9">
      <w:pPr>
        <w:widowControl/>
        <w:spacing w:line="600" w:lineRule="exact"/>
        <w:ind w:firstLine="645"/>
        <w:jc w:val="left"/>
        <w:rPr>
          <w:rFonts w:hint="eastAsia" w:eastAsia="黑体"/>
          <w:sz w:val="32"/>
          <w:szCs w:val="32"/>
        </w:rPr>
      </w:pPr>
      <w:r>
        <w:rPr>
          <w:rFonts w:hint="eastAsia" w:eastAsia="黑体"/>
          <w:sz w:val="32"/>
          <w:szCs w:val="32"/>
        </w:rPr>
        <w:t>一、部门、单位基本情况</w:t>
      </w:r>
    </w:p>
    <w:p w14:paraId="2A355AFE">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14:paraId="4471D41A">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邵阳县档案馆，简称县档案馆，隶属县委办公室管理的正科级公益一类事业单位。根据中共邵阳县委机构编制委员会《关于印发&lt;邵阳县档案馆职能配置、内设机构和人员编制规定&gt;的通知》（邵编发[2020]7号）规定，内设四个股室：综合部、保管利用部、接收编研部、信息技术部，为正股级。</w:t>
      </w:r>
    </w:p>
    <w:p w14:paraId="30856F2B">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14:paraId="3ABDB565">
      <w:pPr>
        <w:widowControl/>
        <w:numPr>
          <w:ilvl w:val="0"/>
          <w:numId w:val="0"/>
        </w:numPr>
        <w:spacing w:line="600" w:lineRule="exact"/>
        <w:ind w:firstLine="640" w:firstLineChars="200"/>
        <w:jc w:val="left"/>
        <w:rPr>
          <w:rFonts w:hint="eastAsia" w:ascii="楷体" w:hAnsi="楷体" w:eastAsia="楷体" w:cs="楷体"/>
          <w:b/>
          <w:bCs/>
          <w:sz w:val="32"/>
          <w:szCs w:val="32"/>
        </w:rPr>
      </w:pPr>
      <w:r>
        <w:rPr>
          <w:rFonts w:hint="eastAsia" w:ascii="仿宋" w:hAnsi="仿宋" w:eastAsia="仿宋" w:cs="仿宋"/>
          <w:b w:val="0"/>
          <w:bCs w:val="0"/>
          <w:sz w:val="32"/>
          <w:szCs w:val="40"/>
          <w:lang w:val="en-US" w:eastAsia="zh-CN"/>
        </w:rPr>
        <w:t>县档案馆事业编制8名，其中：馆长1名，副馆长1名，股级职数4名。</w:t>
      </w:r>
    </w:p>
    <w:p w14:paraId="57867209">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主要职能职责</w:t>
      </w:r>
    </w:p>
    <w:p w14:paraId="5D920FDA">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根据</w:t>
      </w:r>
      <w:r>
        <w:rPr>
          <w:rFonts w:hint="eastAsia" w:ascii="仿宋" w:hAnsi="仿宋" w:eastAsia="仿宋" w:cs="仿宋"/>
          <w:b w:val="0"/>
          <w:bCs w:val="0"/>
          <w:sz w:val="32"/>
          <w:szCs w:val="40"/>
          <w:lang w:val="en-US" w:eastAsia="zh-CN"/>
        </w:rPr>
        <w:t>邵编发[2020]7号文件</w:t>
      </w:r>
      <w:r>
        <w:rPr>
          <w:rFonts w:hint="eastAsia" w:ascii="仿宋" w:hAnsi="仿宋" w:eastAsia="仿宋" w:cs="仿宋"/>
          <w:b w:val="0"/>
          <w:bCs/>
          <w:sz w:val="32"/>
          <w:szCs w:val="32"/>
        </w:rPr>
        <w:t>规定，邵阳县</w:t>
      </w:r>
      <w:r>
        <w:rPr>
          <w:rFonts w:hint="eastAsia" w:ascii="仿宋" w:hAnsi="仿宋" w:eastAsia="仿宋" w:cs="仿宋"/>
          <w:b w:val="0"/>
          <w:bCs/>
          <w:sz w:val="32"/>
          <w:szCs w:val="32"/>
          <w:lang w:eastAsia="zh-CN"/>
        </w:rPr>
        <w:t>档案馆</w:t>
      </w:r>
      <w:r>
        <w:rPr>
          <w:rFonts w:hint="eastAsia" w:ascii="仿宋" w:hAnsi="仿宋" w:eastAsia="仿宋" w:cs="仿宋"/>
          <w:b w:val="0"/>
          <w:bCs/>
          <w:sz w:val="32"/>
          <w:szCs w:val="32"/>
        </w:rPr>
        <w:t>依法履行下列职责：</w:t>
      </w:r>
      <w:r>
        <w:rPr>
          <w:rFonts w:hint="eastAsia" w:ascii="仿宋" w:hAnsi="仿宋" w:eastAsia="仿宋" w:cs="仿宋"/>
          <w:b w:val="0"/>
          <w:bCs/>
          <w:sz w:val="32"/>
          <w:szCs w:val="32"/>
          <w:lang w:val="en-US" w:eastAsia="zh-CN"/>
        </w:rPr>
        <w:t xml:space="preserve">  </w:t>
      </w:r>
    </w:p>
    <w:p w14:paraId="439F99A8">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负责接收按规定应移交进馆的县直各单位档案资料；负责征集散存在社会上的反映邵阳县各个历史时期具有重要价值的档案资料；负责收集重要会议、重要人物、重大活动档案资料；负责提供县直改制企业档案寄存服务；负责接收县直单位现行文件</w:t>
      </w:r>
      <w:r>
        <w:rPr>
          <w:rFonts w:hint="eastAsia" w:ascii="仿宋" w:hAnsi="仿宋" w:eastAsia="仿宋" w:cs="仿宋"/>
          <w:b w:val="0"/>
          <w:bCs/>
          <w:sz w:val="32"/>
          <w:szCs w:val="32"/>
        </w:rPr>
        <w:t>。</w:t>
      </w:r>
    </w:p>
    <w:p w14:paraId="34E4476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负责对所征集的档案资料进行鉴定、整理、归档；负责对馆藏档案进行科学分类和保管，建立全宗卷，记载立档单位和全宗历史演变情况；负责馆藏档案的鉴定开放，编制检索工具，提供档案信息及政府现行文件的查阅利用服务；负责馆藏档案安全，维护馆藏档案完整，保守党和国家秘密</w:t>
      </w:r>
      <w:r>
        <w:rPr>
          <w:rFonts w:hint="eastAsia" w:ascii="仿宋" w:hAnsi="仿宋" w:eastAsia="仿宋" w:cs="仿宋"/>
          <w:b w:val="0"/>
          <w:bCs/>
          <w:sz w:val="32"/>
          <w:szCs w:val="32"/>
        </w:rPr>
        <w:t>。</w:t>
      </w:r>
    </w:p>
    <w:p w14:paraId="0BB6790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围绕县委和县政府工作需要，开展档案史料的研究和编辑工作，利用馆藏档案资料举办展览活动，编辑档案文件汇集和其他有利用价值的参考资料，经批准后公开档案文件和史料</w:t>
      </w:r>
      <w:r>
        <w:rPr>
          <w:rFonts w:hint="eastAsia" w:ascii="仿宋" w:hAnsi="仿宋" w:eastAsia="仿宋" w:cs="仿宋"/>
          <w:b w:val="0"/>
          <w:bCs/>
          <w:sz w:val="32"/>
          <w:szCs w:val="32"/>
        </w:rPr>
        <w:t>。</w:t>
      </w:r>
    </w:p>
    <w:p w14:paraId="5D835720">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负责推进县档案馆数字化建设，按照档案工作信息化发展方向，全方位有效地开发档案信息资源，开展档案管理技术研究，提高县档案馆档案管理现代化水平，实现档案管理由智能化向智慧化发展</w:t>
      </w:r>
      <w:r>
        <w:rPr>
          <w:rFonts w:hint="eastAsia" w:ascii="仿宋" w:hAnsi="仿宋" w:eastAsia="仿宋" w:cs="仿宋"/>
          <w:b w:val="0"/>
          <w:bCs/>
          <w:sz w:val="32"/>
          <w:szCs w:val="32"/>
        </w:rPr>
        <w:t>。</w:t>
      </w:r>
    </w:p>
    <w:p w14:paraId="353660DE">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承担县委办公室交办的其他工作</w:t>
      </w:r>
      <w:r>
        <w:rPr>
          <w:rFonts w:hint="eastAsia" w:ascii="仿宋" w:hAnsi="仿宋" w:eastAsia="仿宋" w:cs="仿宋"/>
          <w:b w:val="0"/>
          <w:bCs/>
          <w:sz w:val="32"/>
          <w:szCs w:val="32"/>
        </w:rPr>
        <w:t>。</w:t>
      </w:r>
    </w:p>
    <w:p w14:paraId="5AFE69FB">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14:paraId="525B1AAE">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在2023年度的收支预算内，完成10万页档案信息化，完成档案查阅接待人数3800人，调卷50000卷册，接收征集档案30000卷册，县综合档案馆完成本年度安全有序的运行。</w:t>
      </w:r>
    </w:p>
    <w:p w14:paraId="2C0ADB2F">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二、一般公共预算支出情况</w:t>
      </w:r>
    </w:p>
    <w:p w14:paraId="1408C019">
      <w:pPr>
        <w:widowControl/>
        <w:spacing w:line="600" w:lineRule="exact"/>
        <w:ind w:firstLine="645"/>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（一）经批复的预、决算情况</w:t>
      </w:r>
    </w:p>
    <w:p w14:paraId="69F9F09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邵阳县财政局关于批复2023年部门预算的通知（邵财发〔2023〕18号文件，县档案馆2023年度基本支出合计132.9万元，其中工资福利支出102.74万元，商品和服务支出15.72万元，对个人和家庭的补助支出14.45万元；专项经费支出预算为50万元，全年预算收入共计182.9万元。</w:t>
      </w:r>
    </w:p>
    <w:p w14:paraId="1A466C41">
      <w:pPr>
        <w:widowControl/>
        <w:spacing w:line="600" w:lineRule="exact"/>
        <w:ind w:firstLine="645"/>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（二）部门预算执行情况</w:t>
      </w:r>
    </w:p>
    <w:p w14:paraId="7FD48EDE">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2023年度财政拨款基本支出253.76万元，其中：人员经费161.09万元，占基本支出的63.48%，主要包括：基本工资、津贴补贴、奖金、伙食补助费、机关事业单位基本养老保险缴费、职业年金缴费、职工基本医疗保险缴费、其他社会保障缴费、住房公积金、抚恤金、生活补助、奖励金。</w:t>
      </w:r>
    </w:p>
    <w:p w14:paraId="384988B3">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公用经费92.67万元，占基本支出的36.52%，主要包括：办公设备购置、办公费、印刷费、咨询费、水费、电费、邮电费、物业管理费、差旅费、维修（护）费、会议费、公务接待费、劳务费、工会经费、其他交通费用、其他商品和服务支出。</w:t>
      </w:r>
    </w:p>
    <w:p w14:paraId="7E83DF9D">
      <w:pPr>
        <w:widowControl/>
        <w:spacing w:line="600" w:lineRule="exact"/>
        <w:ind w:firstLine="645"/>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（三）"三公"经费使用和管理情况</w:t>
      </w:r>
    </w:p>
    <w:p w14:paraId="284B8553">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“三公”经费各费用均控制在预算范围内，其中：因公出国出境经费支出</w:t>
      </w:r>
      <w:r>
        <w:rPr>
          <w:rFonts w:hint="eastAsia" w:ascii="仿宋" w:hAnsi="仿宋" w:eastAsia="仿宋" w:cs="仿宋"/>
          <w:b w:val="0"/>
          <w:bCs/>
          <w:sz w:val="32"/>
          <w:szCs w:val="32"/>
          <w:lang w:val="en-US" w:eastAsia="zh-CN"/>
        </w:rPr>
        <w:t>0万元</w:t>
      </w:r>
      <w:r>
        <w:rPr>
          <w:rFonts w:hint="eastAsia" w:ascii="仿宋" w:hAnsi="仿宋" w:eastAsia="仿宋" w:cs="仿宋"/>
          <w:b w:val="0"/>
          <w:bCs/>
          <w:sz w:val="32"/>
          <w:szCs w:val="32"/>
          <w:lang w:eastAsia="zh-CN"/>
        </w:rPr>
        <w:t>，公务接待费</w:t>
      </w:r>
      <w:r>
        <w:rPr>
          <w:rFonts w:hint="eastAsia" w:ascii="仿宋" w:hAnsi="仿宋" w:eastAsia="仿宋" w:cs="仿宋"/>
          <w:b w:val="0"/>
          <w:bCs/>
          <w:sz w:val="32"/>
          <w:szCs w:val="32"/>
          <w:lang w:val="en-US" w:eastAsia="zh-CN"/>
        </w:rPr>
        <w:t>0.33</w:t>
      </w:r>
      <w:r>
        <w:rPr>
          <w:rFonts w:hint="eastAsia" w:ascii="仿宋" w:hAnsi="仿宋" w:eastAsia="仿宋" w:cs="仿宋"/>
          <w:b w:val="0"/>
          <w:bCs/>
          <w:sz w:val="32"/>
          <w:szCs w:val="32"/>
          <w:lang w:eastAsia="zh-CN"/>
        </w:rPr>
        <w:t>万元，车辆运行维护费</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lang w:eastAsia="zh-CN"/>
        </w:rPr>
        <w:t>万元。</w:t>
      </w:r>
    </w:p>
    <w:p w14:paraId="7EA273C5">
      <w:pPr>
        <w:widowControl/>
        <w:numPr>
          <w:ilvl w:val="0"/>
          <w:numId w:val="2"/>
        </w:numPr>
        <w:spacing w:line="600" w:lineRule="exact"/>
        <w:ind w:firstLine="645"/>
        <w:jc w:val="left"/>
        <w:rPr>
          <w:rFonts w:hint="eastAsia" w:ascii="宋体" w:hAnsi="宋体" w:eastAsia="宋体" w:cs="宋体"/>
          <w:i w:val="0"/>
          <w:iCs w:val="0"/>
          <w:caps w:val="0"/>
          <w:color w:val="000000"/>
          <w:spacing w:val="0"/>
          <w:sz w:val="25"/>
          <w:szCs w:val="25"/>
        </w:rPr>
      </w:pPr>
      <w:r>
        <w:rPr>
          <w:rFonts w:hint="eastAsia" w:eastAsia="黑体"/>
          <w:sz w:val="32"/>
          <w:szCs w:val="32"/>
        </w:rPr>
        <w:t>政府性基金预算支出情况</w:t>
      </w:r>
      <w:r>
        <w:rPr>
          <w:rFonts w:hint="eastAsia" w:eastAsia="黑体"/>
          <w:sz w:val="32"/>
          <w:szCs w:val="32"/>
          <w:lang w:eastAsia="zh-CN"/>
        </w:rPr>
        <w:t>：</w:t>
      </w:r>
    </w:p>
    <w:p w14:paraId="3EB8165E">
      <w:pPr>
        <w:widowControl/>
        <w:numPr>
          <w:ilvl w:val="0"/>
          <w:numId w:val="0"/>
        </w:numPr>
        <w:spacing w:line="600" w:lineRule="exact"/>
        <w:ind w:firstLine="640" w:firstLineChars="200"/>
        <w:jc w:val="left"/>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邵阳县档案馆本级2023年度没有政府性基金预算收入，也没有使用政府性基金安排的支出。</w:t>
      </w:r>
    </w:p>
    <w:p w14:paraId="6901EB42">
      <w:pPr>
        <w:widowControl/>
        <w:numPr>
          <w:ilvl w:val="0"/>
          <w:numId w:val="2"/>
        </w:numPr>
        <w:spacing w:line="600" w:lineRule="exact"/>
        <w:ind w:left="0" w:leftChars="0" w:firstLine="645" w:firstLineChars="0"/>
        <w:jc w:val="left"/>
        <w:rPr>
          <w:rFonts w:hint="eastAsia" w:eastAsia="黑体"/>
          <w:sz w:val="32"/>
          <w:szCs w:val="32"/>
          <w:lang w:eastAsia="zh-CN"/>
        </w:rPr>
      </w:pPr>
      <w:r>
        <w:rPr>
          <w:rFonts w:hint="eastAsia" w:eastAsia="黑体"/>
          <w:sz w:val="32"/>
          <w:szCs w:val="32"/>
        </w:rPr>
        <w:t>国有资本经营预算支出情况</w:t>
      </w:r>
      <w:r>
        <w:rPr>
          <w:rFonts w:hint="eastAsia" w:eastAsia="黑体"/>
          <w:sz w:val="32"/>
          <w:szCs w:val="32"/>
          <w:lang w:eastAsia="zh-CN"/>
        </w:rPr>
        <w:t>：</w:t>
      </w:r>
    </w:p>
    <w:p w14:paraId="69E8A078">
      <w:pPr>
        <w:widowControl/>
        <w:numPr>
          <w:ilvl w:val="0"/>
          <w:numId w:val="0"/>
        </w:numPr>
        <w:spacing w:line="600" w:lineRule="exact"/>
        <w:ind w:firstLine="640" w:firstLineChars="200"/>
        <w:jc w:val="left"/>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邵阳县档案馆本级2023年度没有国有资本经营预算财政拨款收入，也没有使用国有资本经营预算财政拨款的支出。</w:t>
      </w:r>
    </w:p>
    <w:p w14:paraId="522FD158">
      <w:pPr>
        <w:widowControl/>
        <w:numPr>
          <w:ilvl w:val="0"/>
          <w:numId w:val="2"/>
        </w:numPr>
        <w:spacing w:line="600" w:lineRule="exact"/>
        <w:ind w:left="0" w:leftChars="0" w:firstLine="645" w:firstLineChars="0"/>
        <w:jc w:val="left"/>
        <w:rPr>
          <w:rFonts w:hint="eastAsia" w:eastAsia="黑体"/>
          <w:sz w:val="32"/>
          <w:szCs w:val="32"/>
          <w:lang w:eastAsia="zh-CN"/>
        </w:rPr>
      </w:pPr>
      <w:r>
        <w:rPr>
          <w:rFonts w:hint="eastAsia" w:eastAsia="黑体"/>
          <w:sz w:val="32"/>
          <w:szCs w:val="32"/>
        </w:rPr>
        <w:t>社会保险基金预算支出情况</w:t>
      </w:r>
      <w:r>
        <w:rPr>
          <w:rFonts w:hint="eastAsia" w:eastAsia="黑体"/>
          <w:sz w:val="32"/>
          <w:szCs w:val="32"/>
          <w:lang w:eastAsia="zh-CN"/>
        </w:rPr>
        <w:t>：</w:t>
      </w:r>
    </w:p>
    <w:p w14:paraId="4276F1BC">
      <w:pPr>
        <w:widowControl/>
        <w:numPr>
          <w:numId w:val="0"/>
        </w:numPr>
        <w:spacing w:line="600" w:lineRule="exact"/>
        <w:ind w:left="645" w:leftChars="0"/>
        <w:jc w:val="left"/>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无社会保险基金预算</w:t>
      </w:r>
    </w:p>
    <w:p w14:paraId="5DE1C1FC">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14:paraId="7CBCD1DC">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（一）综合评价结论。</w:t>
      </w:r>
    </w:p>
    <w:p w14:paraId="6082D7D1">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楷体" w:hAnsi="楷体" w:eastAsia="楷体" w:cs="楷体"/>
          <w:b/>
          <w:bCs/>
          <w:sz w:val="32"/>
          <w:szCs w:val="32"/>
        </w:rPr>
      </w:pPr>
      <w:r>
        <w:rPr>
          <w:rFonts w:hint="eastAsia" w:ascii="仿宋" w:hAnsi="仿宋" w:eastAsia="仿宋" w:cs="仿宋"/>
          <w:sz w:val="32"/>
          <w:szCs w:val="32"/>
          <w:lang w:val="en-US" w:eastAsia="zh-CN"/>
        </w:rPr>
        <w:t>2023年我馆加强预算配置管理，严控“三公经费”、重点支出安排合理、按程序进行政府采购、管理制度健全、资金使用合规、预决算信息公开及时、资产管理有效、绩效管理达成目标、职责履行效果明显，综合自评得分93分。</w:t>
      </w:r>
    </w:p>
    <w:p w14:paraId="47889016">
      <w:pPr>
        <w:widowControl/>
        <w:spacing w:line="600" w:lineRule="exact"/>
        <w:ind w:firstLine="645"/>
        <w:jc w:val="left"/>
        <w:rPr>
          <w:rFonts w:hint="eastAsia" w:eastAsia="黑体"/>
          <w:sz w:val="32"/>
          <w:szCs w:val="32"/>
        </w:rPr>
      </w:pPr>
      <w:r>
        <w:rPr>
          <w:rFonts w:hint="eastAsia" w:ascii="楷体" w:hAnsi="楷体" w:eastAsia="楷体" w:cs="楷体"/>
          <w:b/>
          <w:bCs/>
          <w:sz w:val="32"/>
          <w:szCs w:val="32"/>
        </w:rPr>
        <w:t>（二）评价指标分析（或综合评价情况）。</w:t>
      </w:r>
      <w:r>
        <w:rPr>
          <w:rFonts w:hint="eastAsia" w:eastAsia="仿宋_GB2312"/>
          <w:sz w:val="32"/>
          <w:szCs w:val="32"/>
        </w:rPr>
        <w:t>围绕部门职责、行业发展规划，以预算资金管理为主线，从整体绩效目标设定、预算配置、预算执行、预算管理、资产管理、职责履行、履职效益等方面综合分析。总结归纳本部门</w:t>
      </w:r>
      <w:r>
        <w:rPr>
          <w:rFonts w:hint="eastAsia" w:eastAsia="仿宋_GB2312"/>
          <w:sz w:val="32"/>
          <w:szCs w:val="32"/>
          <w:lang w:eastAsia="zh-CN"/>
        </w:rPr>
        <w:t>“</w:t>
      </w:r>
      <w:r>
        <w:rPr>
          <w:rFonts w:hint="eastAsia" w:eastAsia="仿宋_GB2312"/>
          <w:sz w:val="32"/>
          <w:szCs w:val="32"/>
        </w:rPr>
        <w:t>四本预算</w:t>
      </w:r>
      <w:r>
        <w:rPr>
          <w:rFonts w:hint="eastAsia" w:eastAsia="仿宋_GB2312"/>
          <w:sz w:val="32"/>
          <w:szCs w:val="32"/>
          <w:lang w:eastAsia="zh-CN"/>
        </w:rPr>
        <w:t>”</w:t>
      </w:r>
      <w:r>
        <w:rPr>
          <w:rFonts w:hint="eastAsia" w:eastAsia="仿宋_GB2312"/>
          <w:sz w:val="32"/>
          <w:szCs w:val="32"/>
        </w:rPr>
        <w:t>支出的绩效目标完成情况，实现产出和取得效益的情况。</w:t>
      </w:r>
    </w:p>
    <w:p w14:paraId="5DF32F62">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14:paraId="06AE040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资产清查盘点未能及时进行，可能存在资产盘亏情况</w:t>
      </w:r>
      <w:r>
        <w:rPr>
          <w:rFonts w:hint="eastAsia" w:ascii="仿宋" w:hAnsi="仿宋" w:eastAsia="仿宋" w:cs="仿宋"/>
          <w:sz w:val="32"/>
          <w:szCs w:val="32"/>
        </w:rPr>
        <w:t>。</w:t>
      </w:r>
    </w:p>
    <w:p w14:paraId="1155DC7A">
      <w:pPr>
        <w:widowControl/>
        <w:numPr>
          <w:ilvl w:val="0"/>
          <w:numId w:val="3"/>
        </w:numPr>
        <w:spacing w:line="600" w:lineRule="exact"/>
        <w:ind w:firstLine="645"/>
        <w:jc w:val="left"/>
        <w:rPr>
          <w:rFonts w:hint="eastAsia" w:eastAsia="黑体"/>
          <w:sz w:val="32"/>
          <w:szCs w:val="32"/>
        </w:rPr>
      </w:pPr>
      <w:r>
        <w:rPr>
          <w:rFonts w:hint="eastAsia" w:eastAsia="黑体"/>
          <w:sz w:val="32"/>
          <w:szCs w:val="32"/>
        </w:rPr>
        <w:t>下一步改进措施</w:t>
      </w:r>
    </w:p>
    <w:p w14:paraId="13B95264">
      <w:pPr>
        <w:adjustRightInd w:val="0"/>
        <w:snapToGrid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改进措施：及时对资产进行清查盘点，进一步规范资产管理</w:t>
      </w:r>
      <w:r>
        <w:rPr>
          <w:rFonts w:hint="eastAsia" w:ascii="仿宋" w:hAnsi="仿宋" w:eastAsia="仿宋" w:cs="仿宋"/>
          <w:sz w:val="32"/>
          <w:szCs w:val="32"/>
          <w:lang w:val="en-US" w:eastAsia="zh-CN"/>
        </w:rPr>
        <w:t>。</w:t>
      </w:r>
    </w:p>
    <w:p w14:paraId="2AA4E719">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建议：建议财政部门根据我单位实际，将相关项目经费纳入财政预算，以保证相关工作顺利运行。</w:t>
      </w:r>
    </w:p>
    <w:p w14:paraId="0683836D"/>
    <w:p w14:paraId="788B2044">
      <w:pPr>
        <w:widowControl/>
        <w:spacing w:line="600" w:lineRule="exact"/>
        <w:ind w:firstLine="645"/>
        <w:jc w:val="left"/>
        <w:rPr>
          <w:rFonts w:hint="eastAsia" w:ascii="黑体" w:hAnsi="黑体" w:eastAsia="黑体" w:cs="黑体"/>
          <w:sz w:val="32"/>
          <w:szCs w:val="32"/>
        </w:rPr>
      </w:pPr>
      <w:r>
        <w:rPr>
          <w:rFonts w:hint="eastAsia" w:eastAsia="黑体"/>
          <w:sz w:val="32"/>
          <w:szCs w:val="32"/>
        </w:rPr>
        <w:t>九、其他需要说明的情况</w:t>
      </w:r>
    </w:p>
    <w:p w14:paraId="189847AE">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14:paraId="38B6E387">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14:paraId="139CCF31">
      <w:pPr>
        <w:rPr>
          <w:rFonts w:ascii="仿宋" w:hAnsi="仿宋" w:eastAsia="仿宋" w:cs="仿宋"/>
          <w:sz w:val="32"/>
          <w:szCs w:val="32"/>
        </w:rPr>
      </w:pPr>
    </w:p>
    <w:p w14:paraId="3F20069E">
      <w:pPr>
        <w:rPr>
          <w:rFonts w:ascii="仿宋" w:hAnsi="仿宋" w:eastAsia="仿宋" w:cs="仿宋"/>
          <w:sz w:val="32"/>
          <w:szCs w:val="32"/>
        </w:rPr>
      </w:pPr>
    </w:p>
    <w:p w14:paraId="61EE7813">
      <w:pPr>
        <w:rPr>
          <w:rFonts w:ascii="仿宋" w:hAnsi="仿宋" w:eastAsia="仿宋" w:cs="仿宋"/>
          <w:sz w:val="32"/>
          <w:szCs w:val="32"/>
        </w:rPr>
      </w:pPr>
    </w:p>
    <w:p w14:paraId="5B9D0E9E">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14:paraId="33CE5AE2">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003677E4">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14:paraId="4DB06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14:paraId="46635BD9">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一级</w:t>
            </w:r>
          </w:p>
          <w:p w14:paraId="41F19C82">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14:paraId="4E07F17C">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二级</w:t>
            </w:r>
          </w:p>
          <w:p w14:paraId="0CEB4D4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14:paraId="5B7FE32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14:paraId="088393C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14:paraId="470CD63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14:paraId="0CE1D47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14:paraId="5F5C0CF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14:paraId="2577530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14:paraId="17442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14:paraId="6454A3CF">
            <w:pPr>
              <w:keepNext w:val="0"/>
              <w:keepLines w:val="0"/>
              <w:widowControl/>
              <w:suppressLineNumbers w:val="0"/>
              <w:jc w:val="center"/>
              <w:textAlignment w:val="center"/>
              <w:rPr>
                <w:rStyle w:val="13"/>
                <w:lang w:val="en-US" w:eastAsia="zh-CN" w:bidi="ar"/>
              </w:rPr>
            </w:pPr>
            <w:r>
              <w:rPr>
                <w:rStyle w:val="13"/>
                <w:lang w:val="en-US" w:eastAsia="zh-CN" w:bidi="ar"/>
              </w:rPr>
              <w:t>投入</w:t>
            </w:r>
          </w:p>
          <w:p w14:paraId="6D53B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w:t>
            </w:r>
            <w:r>
              <w:rPr>
                <w:rStyle w:val="14"/>
                <w:rFonts w:eastAsia="宋体"/>
                <w:lang w:val="en-US" w:eastAsia="zh-CN" w:bidi="ar"/>
              </w:rPr>
              <w:t>14</w:t>
            </w:r>
            <w:r>
              <w:rPr>
                <w:rStyle w:val="13"/>
                <w:lang w:val="en-US" w:eastAsia="zh-CN" w:bidi="ar"/>
              </w:rPr>
              <w:t>分）</w:t>
            </w:r>
          </w:p>
        </w:tc>
        <w:tc>
          <w:tcPr>
            <w:tcW w:w="870" w:type="dxa"/>
            <w:vMerge w:val="restart"/>
            <w:tcBorders>
              <w:tl2br w:val="nil"/>
              <w:tr2bl w:val="nil"/>
            </w:tcBorders>
            <w:noWrap w:val="0"/>
            <w:vAlign w:val="center"/>
          </w:tcPr>
          <w:p w14:paraId="0B9013BF">
            <w:pPr>
              <w:keepNext w:val="0"/>
              <w:keepLines w:val="0"/>
              <w:widowControl/>
              <w:suppressLineNumbers w:val="0"/>
              <w:jc w:val="center"/>
              <w:textAlignment w:val="center"/>
              <w:rPr>
                <w:rStyle w:val="13"/>
                <w:lang w:val="en-US" w:eastAsia="zh-CN" w:bidi="ar"/>
              </w:rPr>
            </w:pPr>
            <w:r>
              <w:rPr>
                <w:rStyle w:val="13"/>
                <w:lang w:val="en-US" w:eastAsia="zh-CN" w:bidi="ar"/>
              </w:rPr>
              <w:t>目标</w:t>
            </w:r>
          </w:p>
          <w:p w14:paraId="41031019">
            <w:pPr>
              <w:keepNext w:val="0"/>
              <w:keepLines w:val="0"/>
              <w:widowControl/>
              <w:suppressLineNumbers w:val="0"/>
              <w:jc w:val="center"/>
              <w:textAlignment w:val="center"/>
              <w:rPr>
                <w:rStyle w:val="13"/>
                <w:lang w:val="en-US" w:eastAsia="zh-CN" w:bidi="ar"/>
              </w:rPr>
            </w:pPr>
            <w:r>
              <w:rPr>
                <w:rStyle w:val="13"/>
                <w:lang w:val="en-US" w:eastAsia="zh-CN" w:bidi="ar"/>
              </w:rPr>
              <w:t>设定</w:t>
            </w:r>
          </w:p>
          <w:p w14:paraId="5C09AB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14:paraId="4E6A8B10">
            <w:pPr>
              <w:keepNext w:val="0"/>
              <w:keepLines w:val="0"/>
              <w:widowControl/>
              <w:suppressLineNumbers w:val="0"/>
              <w:jc w:val="center"/>
              <w:textAlignment w:val="center"/>
              <w:rPr>
                <w:rStyle w:val="13"/>
                <w:lang w:val="en-US" w:eastAsia="zh-CN" w:bidi="ar"/>
              </w:rPr>
            </w:pPr>
            <w:r>
              <w:rPr>
                <w:rStyle w:val="13"/>
                <w:lang w:val="en-US" w:eastAsia="zh-CN" w:bidi="ar"/>
              </w:rPr>
              <w:t>绩效目标</w:t>
            </w:r>
          </w:p>
          <w:p w14:paraId="1F2245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合理性</w:t>
            </w:r>
          </w:p>
        </w:tc>
        <w:tc>
          <w:tcPr>
            <w:tcW w:w="495" w:type="dxa"/>
            <w:tcBorders>
              <w:tl2br w:val="nil"/>
              <w:tr2bl w:val="nil"/>
            </w:tcBorders>
            <w:noWrap w:val="0"/>
            <w:vAlign w:val="center"/>
          </w:tcPr>
          <w:p w14:paraId="365A5A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753312B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14:paraId="4669A81A">
            <w:pPr>
              <w:keepNext w:val="0"/>
              <w:keepLines w:val="0"/>
              <w:widowControl/>
              <w:suppressLineNumbers w:val="0"/>
              <w:jc w:val="left"/>
              <w:textAlignment w:val="center"/>
              <w:rPr>
                <w:rStyle w:val="13"/>
                <w:lang w:val="en-US" w:eastAsia="zh-CN" w:bidi="ar"/>
              </w:rPr>
            </w:pPr>
            <w:r>
              <w:rPr>
                <w:rStyle w:val="13"/>
                <w:lang w:val="en-US" w:eastAsia="zh-CN" w:bidi="ar"/>
              </w:rPr>
              <w:t>①是否符合国家法律法规、国民经济和社会发展总体规划；</w:t>
            </w:r>
          </w:p>
          <w:p w14:paraId="771A8222">
            <w:pPr>
              <w:keepNext w:val="0"/>
              <w:keepLines w:val="0"/>
              <w:widowControl/>
              <w:suppressLineNumbers w:val="0"/>
              <w:jc w:val="left"/>
              <w:textAlignment w:val="center"/>
              <w:rPr>
                <w:rStyle w:val="13"/>
                <w:lang w:val="en-US" w:eastAsia="zh-CN" w:bidi="ar"/>
              </w:rPr>
            </w:pPr>
            <w:r>
              <w:rPr>
                <w:rStyle w:val="13"/>
                <w:lang w:val="en-US" w:eastAsia="zh-CN" w:bidi="ar"/>
              </w:rPr>
              <w:t>②是否符合部门</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方案确定的职责；</w:t>
            </w:r>
          </w:p>
          <w:p w14:paraId="6179A931">
            <w:pPr>
              <w:keepNext w:val="0"/>
              <w:keepLines w:val="0"/>
              <w:widowControl/>
              <w:suppressLineNumbers w:val="0"/>
              <w:jc w:val="left"/>
              <w:textAlignment w:val="center"/>
              <w:rPr>
                <w:rStyle w:val="13"/>
                <w:lang w:val="en-US" w:eastAsia="zh-CN" w:bidi="ar"/>
              </w:rPr>
            </w:pPr>
            <w:r>
              <w:rPr>
                <w:rStyle w:val="13"/>
                <w:lang w:val="en-US" w:eastAsia="zh-CN" w:bidi="ar"/>
              </w:rPr>
              <w:t>③是否符合部门制定的中长期实施规划。</w:t>
            </w:r>
          </w:p>
          <w:p w14:paraId="65734D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以上各项每发现一起不符合要求扣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14:paraId="1E52DA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方案；部门职责；部门制定的中长期实施规划等。</w:t>
            </w:r>
          </w:p>
        </w:tc>
        <w:tc>
          <w:tcPr>
            <w:tcW w:w="586" w:type="dxa"/>
            <w:tcBorders>
              <w:tl2br w:val="nil"/>
              <w:tr2bl w:val="nil"/>
            </w:tcBorders>
            <w:noWrap w:val="0"/>
            <w:vAlign w:val="center"/>
          </w:tcPr>
          <w:p w14:paraId="6F29FD03">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39A18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14:paraId="6242698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3F73121">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0FAAF4C9">
            <w:pPr>
              <w:keepNext w:val="0"/>
              <w:keepLines w:val="0"/>
              <w:widowControl/>
              <w:suppressLineNumbers w:val="0"/>
              <w:jc w:val="center"/>
              <w:textAlignment w:val="center"/>
              <w:rPr>
                <w:rStyle w:val="13"/>
                <w:lang w:val="en-US" w:eastAsia="zh-CN" w:bidi="ar"/>
              </w:rPr>
            </w:pPr>
            <w:r>
              <w:rPr>
                <w:rStyle w:val="13"/>
                <w:lang w:val="en-US" w:eastAsia="zh-CN" w:bidi="ar"/>
              </w:rPr>
              <w:t>绩效指标</w:t>
            </w:r>
          </w:p>
          <w:p w14:paraId="44768B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明确性</w:t>
            </w:r>
          </w:p>
        </w:tc>
        <w:tc>
          <w:tcPr>
            <w:tcW w:w="495" w:type="dxa"/>
            <w:tcBorders>
              <w:tl2br w:val="nil"/>
              <w:tr2bl w:val="nil"/>
            </w:tcBorders>
            <w:noWrap w:val="0"/>
            <w:vAlign w:val="center"/>
          </w:tcPr>
          <w:p w14:paraId="5FD851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1C381C6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14:paraId="5F322D12">
            <w:pPr>
              <w:keepNext w:val="0"/>
              <w:keepLines w:val="0"/>
              <w:widowControl/>
              <w:suppressLineNumbers w:val="0"/>
              <w:jc w:val="left"/>
              <w:textAlignment w:val="center"/>
              <w:rPr>
                <w:rStyle w:val="13"/>
                <w:lang w:val="en-US" w:eastAsia="zh-CN" w:bidi="ar"/>
              </w:rPr>
            </w:pPr>
          </w:p>
          <w:p w14:paraId="57C5A232">
            <w:pPr>
              <w:keepNext w:val="0"/>
              <w:keepLines w:val="0"/>
              <w:widowControl/>
              <w:suppressLineNumbers w:val="0"/>
              <w:jc w:val="left"/>
              <w:textAlignment w:val="center"/>
              <w:rPr>
                <w:rStyle w:val="13"/>
                <w:lang w:val="en-US" w:eastAsia="zh-CN" w:bidi="ar"/>
              </w:rPr>
            </w:pPr>
            <w:r>
              <w:rPr>
                <w:rStyle w:val="13"/>
                <w:lang w:val="en-US" w:eastAsia="zh-CN" w:bidi="ar"/>
              </w:rPr>
              <w:t>①有目标，计</w:t>
            </w:r>
            <w:r>
              <w:rPr>
                <w:rStyle w:val="14"/>
                <w:rFonts w:eastAsia="宋体"/>
                <w:lang w:val="en-US" w:eastAsia="zh-CN" w:bidi="ar"/>
              </w:rPr>
              <w:t>1</w:t>
            </w:r>
            <w:r>
              <w:rPr>
                <w:rStyle w:val="13"/>
                <w:lang w:val="en-US" w:eastAsia="zh-CN" w:bidi="ar"/>
              </w:rPr>
              <w:t>分，否则不得分；</w:t>
            </w:r>
          </w:p>
          <w:p w14:paraId="1184DE29">
            <w:pPr>
              <w:keepNext w:val="0"/>
              <w:keepLines w:val="0"/>
              <w:widowControl/>
              <w:suppressLineNumbers w:val="0"/>
              <w:jc w:val="left"/>
              <w:textAlignment w:val="center"/>
              <w:rPr>
                <w:rStyle w:val="13"/>
                <w:lang w:val="en-US" w:eastAsia="zh-CN" w:bidi="ar"/>
              </w:rPr>
            </w:pPr>
            <w:r>
              <w:rPr>
                <w:rStyle w:val="13"/>
                <w:lang w:val="en-US" w:eastAsia="zh-CN" w:bidi="ar"/>
              </w:rPr>
              <w:t>②目标明确，细化量化良好，个性指标中量化指标超过</w:t>
            </w:r>
            <w:r>
              <w:rPr>
                <w:rStyle w:val="14"/>
                <w:rFonts w:eastAsia="宋体"/>
                <w:lang w:val="en-US" w:eastAsia="zh-CN" w:bidi="ar"/>
              </w:rPr>
              <w:t>3</w:t>
            </w:r>
            <w:r>
              <w:rPr>
                <w:rStyle w:val="13"/>
                <w:lang w:val="en-US" w:eastAsia="zh-CN" w:bidi="ar"/>
              </w:rPr>
              <w:t>个，计</w:t>
            </w:r>
            <w:r>
              <w:rPr>
                <w:rStyle w:val="14"/>
                <w:rFonts w:eastAsia="宋体"/>
                <w:lang w:val="en-US" w:eastAsia="zh-CN" w:bidi="ar"/>
              </w:rPr>
              <w:t>1</w:t>
            </w:r>
            <w:r>
              <w:rPr>
                <w:rStyle w:val="13"/>
                <w:lang w:val="en-US" w:eastAsia="zh-CN" w:bidi="ar"/>
              </w:rPr>
              <w:t>分，量化指标为</w:t>
            </w:r>
            <w:r>
              <w:rPr>
                <w:rStyle w:val="14"/>
                <w:rFonts w:eastAsia="宋体"/>
                <w:lang w:val="en-US" w:eastAsia="zh-CN" w:bidi="ar"/>
              </w:rPr>
              <w:t>2</w:t>
            </w:r>
            <w:r>
              <w:rPr>
                <w:rStyle w:val="13"/>
                <w:lang w:val="en-US" w:eastAsia="zh-CN" w:bidi="ar"/>
              </w:rPr>
              <w:t>个，计</w:t>
            </w:r>
            <w:r>
              <w:rPr>
                <w:rStyle w:val="14"/>
                <w:rFonts w:eastAsia="宋体"/>
                <w:lang w:val="en-US" w:eastAsia="zh-CN" w:bidi="ar"/>
              </w:rPr>
              <w:t>0.5</w:t>
            </w:r>
            <w:r>
              <w:rPr>
                <w:rStyle w:val="13"/>
                <w:lang w:val="en-US" w:eastAsia="zh-CN" w:bidi="ar"/>
              </w:rPr>
              <w:t>分，</w:t>
            </w:r>
            <w:r>
              <w:rPr>
                <w:rStyle w:val="14"/>
                <w:rFonts w:eastAsia="宋体"/>
                <w:lang w:val="en-US" w:eastAsia="zh-CN" w:bidi="ar"/>
              </w:rPr>
              <w:t>2</w:t>
            </w:r>
            <w:r>
              <w:rPr>
                <w:rStyle w:val="13"/>
                <w:lang w:val="en-US" w:eastAsia="zh-CN" w:bidi="ar"/>
              </w:rPr>
              <w:t>个以下不得分；</w:t>
            </w:r>
          </w:p>
          <w:p w14:paraId="05F79DDD">
            <w:pPr>
              <w:keepNext w:val="0"/>
              <w:keepLines w:val="0"/>
              <w:widowControl/>
              <w:suppressLineNumbers w:val="0"/>
              <w:jc w:val="left"/>
              <w:textAlignment w:val="center"/>
              <w:rPr>
                <w:rStyle w:val="13"/>
                <w:lang w:val="en-US" w:eastAsia="zh-CN" w:bidi="ar"/>
              </w:rPr>
            </w:pPr>
            <w:r>
              <w:rPr>
                <w:rStyle w:val="13"/>
                <w:lang w:val="en-US" w:eastAsia="zh-CN" w:bidi="ar"/>
              </w:rPr>
              <w:t>③与年度任务数或计划数相对应，计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50%</w:t>
            </w:r>
            <w:r>
              <w:rPr>
                <w:rStyle w:val="13"/>
                <w:lang w:val="en-US" w:eastAsia="zh-CN" w:bidi="ar"/>
              </w:rPr>
              <w:t>计</w:t>
            </w:r>
            <w:r>
              <w:rPr>
                <w:rStyle w:val="14"/>
                <w:rFonts w:eastAsia="宋体"/>
                <w:lang w:val="en-US" w:eastAsia="zh-CN" w:bidi="ar"/>
              </w:rPr>
              <w:t>0.5</w:t>
            </w:r>
            <w:r>
              <w:rPr>
                <w:rStyle w:val="13"/>
                <w:lang w:val="en-US" w:eastAsia="zh-CN" w:bidi="ar"/>
              </w:rPr>
              <w:t>分，对应低于</w:t>
            </w:r>
            <w:r>
              <w:rPr>
                <w:rStyle w:val="14"/>
                <w:rFonts w:eastAsia="宋体"/>
                <w:lang w:val="en-US" w:eastAsia="zh-CN" w:bidi="ar"/>
              </w:rPr>
              <w:t>50%</w:t>
            </w:r>
            <w:r>
              <w:rPr>
                <w:rStyle w:val="13"/>
                <w:lang w:val="en-US" w:eastAsia="zh-CN" w:bidi="ar"/>
              </w:rPr>
              <w:t>不计分；</w:t>
            </w:r>
          </w:p>
          <w:p w14:paraId="03468C8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④目标与资金匹配良好，逻辑关系明确，计</w:t>
            </w:r>
            <w:r>
              <w:rPr>
                <w:rStyle w:val="14"/>
                <w:rFonts w:eastAsia="宋体"/>
                <w:lang w:val="en-US" w:eastAsia="zh-CN" w:bidi="ar"/>
              </w:rPr>
              <w:t>1</w:t>
            </w:r>
            <w:r>
              <w:rPr>
                <w:rStyle w:val="13"/>
                <w:lang w:val="en-US" w:eastAsia="zh-CN" w:bidi="ar"/>
              </w:rPr>
              <w:t>分，否则不得分。</w:t>
            </w:r>
          </w:p>
        </w:tc>
        <w:tc>
          <w:tcPr>
            <w:tcW w:w="2115" w:type="dxa"/>
            <w:tcBorders>
              <w:tl2br w:val="nil"/>
              <w:tr2bl w:val="nil"/>
            </w:tcBorders>
            <w:noWrap w:val="0"/>
            <w:vAlign w:val="center"/>
          </w:tcPr>
          <w:p w14:paraId="52E3DC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绩效目标申报表；年度任务数或计划数；预算批复等。</w:t>
            </w:r>
          </w:p>
        </w:tc>
        <w:tc>
          <w:tcPr>
            <w:tcW w:w="586" w:type="dxa"/>
            <w:tcBorders>
              <w:tl2br w:val="nil"/>
              <w:tr2bl w:val="nil"/>
            </w:tcBorders>
            <w:noWrap w:val="0"/>
            <w:vAlign w:val="center"/>
          </w:tcPr>
          <w:p w14:paraId="33CEE7E0">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7B130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13B70F32">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12CDEE01">
            <w:pPr>
              <w:keepNext w:val="0"/>
              <w:keepLines w:val="0"/>
              <w:widowControl/>
              <w:suppressLineNumbers w:val="0"/>
              <w:jc w:val="center"/>
              <w:textAlignment w:val="center"/>
              <w:rPr>
                <w:rStyle w:val="13"/>
                <w:lang w:val="en-US" w:eastAsia="zh-CN" w:bidi="ar"/>
              </w:rPr>
            </w:pPr>
            <w:r>
              <w:rPr>
                <w:rStyle w:val="13"/>
                <w:lang w:val="en-US" w:eastAsia="zh-CN" w:bidi="ar"/>
              </w:rPr>
              <w:t>预算</w:t>
            </w:r>
          </w:p>
          <w:p w14:paraId="6686B2A4">
            <w:pPr>
              <w:keepNext w:val="0"/>
              <w:keepLines w:val="0"/>
              <w:widowControl/>
              <w:suppressLineNumbers w:val="0"/>
              <w:jc w:val="center"/>
              <w:textAlignment w:val="center"/>
              <w:rPr>
                <w:rStyle w:val="13"/>
                <w:lang w:val="en-US" w:eastAsia="zh-CN" w:bidi="ar"/>
              </w:rPr>
            </w:pPr>
            <w:r>
              <w:rPr>
                <w:rStyle w:val="13"/>
                <w:lang w:val="en-US" w:eastAsia="zh-CN" w:bidi="ar"/>
              </w:rPr>
              <w:t>配置</w:t>
            </w:r>
          </w:p>
          <w:p w14:paraId="48926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14:paraId="11725D0B">
            <w:pPr>
              <w:keepNext w:val="0"/>
              <w:keepLines w:val="0"/>
              <w:widowControl/>
              <w:suppressLineNumbers w:val="0"/>
              <w:jc w:val="center"/>
              <w:textAlignment w:val="center"/>
              <w:rPr>
                <w:rStyle w:val="13"/>
                <w:lang w:val="en-US" w:eastAsia="zh-CN" w:bidi="ar"/>
              </w:rPr>
            </w:pPr>
            <w:r>
              <w:rPr>
                <w:rStyle w:val="13"/>
                <w:lang w:val="en-US" w:eastAsia="zh-CN" w:bidi="ar"/>
              </w:rPr>
              <w:t>人员</w:t>
            </w:r>
          </w:p>
          <w:p w14:paraId="6640FB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控制率</w:t>
            </w:r>
          </w:p>
        </w:tc>
        <w:tc>
          <w:tcPr>
            <w:tcW w:w="495" w:type="dxa"/>
            <w:tcBorders>
              <w:tl2br w:val="nil"/>
              <w:tr2bl w:val="nil"/>
            </w:tcBorders>
            <w:noWrap w:val="0"/>
            <w:vAlign w:val="center"/>
          </w:tcPr>
          <w:p w14:paraId="140B32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B064E0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14:paraId="0A2899B5">
            <w:pPr>
              <w:keepNext w:val="0"/>
              <w:keepLines w:val="0"/>
              <w:widowControl/>
              <w:suppressLineNumbers w:val="0"/>
              <w:jc w:val="left"/>
              <w:textAlignment w:val="center"/>
              <w:rPr>
                <w:rStyle w:val="13"/>
                <w:lang w:val="en-US" w:eastAsia="zh-CN" w:bidi="ar"/>
              </w:rPr>
            </w:pPr>
          </w:p>
          <w:p w14:paraId="70336355">
            <w:pPr>
              <w:keepNext w:val="0"/>
              <w:keepLines w:val="0"/>
              <w:widowControl/>
              <w:suppressLineNumbers w:val="0"/>
              <w:jc w:val="left"/>
              <w:textAlignment w:val="center"/>
              <w:rPr>
                <w:rStyle w:val="13"/>
                <w:lang w:val="en-US" w:eastAsia="zh-CN" w:bidi="ar"/>
              </w:rPr>
            </w:pPr>
            <w:r>
              <w:rPr>
                <w:rStyle w:val="13"/>
                <w:lang w:val="en-US" w:eastAsia="zh-CN" w:bidi="ar"/>
              </w:rPr>
              <w:t>在职人员控制率</w:t>
            </w:r>
            <w:r>
              <w:rPr>
                <w:rStyle w:val="14"/>
                <w:rFonts w:eastAsia="宋体"/>
                <w:lang w:val="en-US" w:eastAsia="zh-CN" w:bidi="ar"/>
              </w:rPr>
              <w:t>=</w:t>
            </w:r>
            <w:r>
              <w:rPr>
                <w:rStyle w:val="13"/>
                <w:lang w:val="en-US" w:eastAsia="zh-CN" w:bidi="ar"/>
              </w:rPr>
              <w:t>（在职人员数</w:t>
            </w:r>
            <w:r>
              <w:rPr>
                <w:rStyle w:val="14"/>
                <w:rFonts w:eastAsia="宋体"/>
                <w:lang w:val="en-US" w:eastAsia="zh-CN" w:bidi="ar"/>
              </w:rPr>
              <w:t>/</w:t>
            </w:r>
            <w:r>
              <w:rPr>
                <w:rStyle w:val="13"/>
                <w:lang w:val="en-US" w:eastAsia="zh-CN" w:bidi="ar"/>
              </w:rPr>
              <w:t>编制数）</w:t>
            </w:r>
            <w:r>
              <w:rPr>
                <w:rStyle w:val="14"/>
                <w:rFonts w:eastAsia="宋体"/>
                <w:lang w:val="en-US" w:eastAsia="zh-CN" w:bidi="ar"/>
              </w:rPr>
              <w:t>×100%</w:t>
            </w:r>
            <w:r>
              <w:rPr>
                <w:rStyle w:val="13"/>
                <w:lang w:val="en-US" w:eastAsia="zh-CN" w:bidi="ar"/>
              </w:rPr>
              <w:t>。</w:t>
            </w:r>
          </w:p>
          <w:p w14:paraId="094BD627">
            <w:pPr>
              <w:keepNext w:val="0"/>
              <w:keepLines w:val="0"/>
              <w:widowControl/>
              <w:suppressLineNumbers w:val="0"/>
              <w:jc w:val="left"/>
              <w:textAlignment w:val="center"/>
              <w:rPr>
                <w:rStyle w:val="13"/>
                <w:lang w:val="en-US" w:eastAsia="zh-CN" w:bidi="ar"/>
              </w:rPr>
            </w:pPr>
            <w:r>
              <w:rPr>
                <w:rStyle w:val="13"/>
                <w:lang w:val="en-US" w:eastAsia="zh-CN" w:bidi="ar"/>
              </w:rPr>
              <w:t>在职人员数：部门（单位）实际在职人数</w:t>
            </w:r>
            <w:r>
              <w:rPr>
                <w:rStyle w:val="14"/>
                <w:rFonts w:eastAsia="宋体"/>
                <w:lang w:val="en-US" w:eastAsia="zh-CN" w:bidi="ar"/>
              </w:rPr>
              <w:t>,</w:t>
            </w:r>
            <w:r>
              <w:rPr>
                <w:rStyle w:val="13"/>
                <w:lang w:val="en-US" w:eastAsia="zh-CN" w:bidi="ar"/>
              </w:rPr>
              <w:t>以财政部门确定的部门决算编制口径为准。</w:t>
            </w:r>
          </w:p>
          <w:p w14:paraId="4EBCF642">
            <w:pPr>
              <w:keepNext w:val="0"/>
              <w:keepLines w:val="0"/>
              <w:widowControl/>
              <w:suppressLineNumbers w:val="0"/>
              <w:jc w:val="left"/>
              <w:textAlignment w:val="center"/>
              <w:rPr>
                <w:rStyle w:val="14"/>
                <w:rFonts w:eastAsia="宋体"/>
                <w:lang w:val="en-US" w:eastAsia="zh-CN" w:bidi="ar"/>
              </w:rPr>
            </w:pPr>
            <w:r>
              <w:rPr>
                <w:rStyle w:val="13"/>
                <w:lang w:val="en-US" w:eastAsia="zh-CN" w:bidi="ar"/>
              </w:rPr>
              <w:t>编制数：机构编制部门核定批复的部门（单位）人员编制数。</w:t>
            </w:r>
            <w:r>
              <w:rPr>
                <w:rStyle w:val="14"/>
                <w:rFonts w:eastAsia="宋体"/>
                <w:lang w:val="en-US" w:eastAsia="zh-CN" w:bidi="ar"/>
              </w:rPr>
              <w:t xml:space="preserve">   </w:t>
            </w:r>
          </w:p>
          <w:p w14:paraId="7593242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在职人员控制率≦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1%</w:t>
            </w:r>
            <w:r>
              <w:rPr>
                <w:rStyle w:val="13"/>
                <w:lang w:val="en-US" w:eastAsia="zh-CN" w:bidi="ar"/>
              </w:rPr>
              <w:t>扣</w:t>
            </w:r>
            <w:r>
              <w:rPr>
                <w:rStyle w:val="14"/>
                <w:rFonts w:eastAsia="宋体"/>
                <w:lang w:val="en-US" w:eastAsia="zh-CN" w:bidi="ar"/>
              </w:rPr>
              <w:t>0.2</w:t>
            </w:r>
            <w:r>
              <w:rPr>
                <w:rStyle w:val="13"/>
                <w:lang w:val="en-US" w:eastAsia="zh-CN" w:bidi="ar"/>
              </w:rPr>
              <w:t>分，扣完为止。</w:t>
            </w:r>
          </w:p>
        </w:tc>
        <w:tc>
          <w:tcPr>
            <w:tcW w:w="2115" w:type="dxa"/>
            <w:tcBorders>
              <w:tl2br w:val="nil"/>
              <w:tr2bl w:val="nil"/>
            </w:tcBorders>
            <w:noWrap w:val="0"/>
            <w:vAlign w:val="center"/>
          </w:tcPr>
          <w:p w14:paraId="50328AA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部门（单位）决算报表；机构编制部门核定批复的部门（单位）的人员编制数。</w:t>
            </w:r>
          </w:p>
        </w:tc>
        <w:tc>
          <w:tcPr>
            <w:tcW w:w="586" w:type="dxa"/>
            <w:tcBorders>
              <w:tl2br w:val="nil"/>
              <w:tr2bl w:val="nil"/>
            </w:tcBorders>
            <w:noWrap w:val="0"/>
            <w:vAlign w:val="center"/>
          </w:tcPr>
          <w:p w14:paraId="5ACAB244">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AE11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14:paraId="1FBAC89F">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230139A">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4F79F28">
            <w:pPr>
              <w:keepNext w:val="0"/>
              <w:keepLines w:val="0"/>
              <w:widowControl/>
              <w:suppressLineNumbers w:val="0"/>
              <w:jc w:val="center"/>
              <w:textAlignment w:val="center"/>
              <w:rPr>
                <w:rStyle w:val="14"/>
                <w:rFonts w:eastAsia="宋体"/>
                <w:lang w:val="en-US" w:eastAsia="zh-CN" w:bidi="ar"/>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p>
          <w:p w14:paraId="2EC76C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变动率</w:t>
            </w:r>
          </w:p>
        </w:tc>
        <w:tc>
          <w:tcPr>
            <w:tcW w:w="495" w:type="dxa"/>
            <w:tcBorders>
              <w:tl2br w:val="nil"/>
              <w:tr2bl w:val="nil"/>
            </w:tcBorders>
            <w:noWrap w:val="0"/>
            <w:vAlign w:val="center"/>
          </w:tcPr>
          <w:p w14:paraId="4AEEA4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1259CBE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预算数与上年度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预算数的变动比率，用以反映和考核部门对控制重点行政成本的努力程度。</w:t>
            </w:r>
          </w:p>
        </w:tc>
        <w:tc>
          <w:tcPr>
            <w:tcW w:w="5112" w:type="dxa"/>
            <w:tcBorders>
              <w:tl2br w:val="nil"/>
              <w:tr2bl w:val="nil"/>
            </w:tcBorders>
            <w:noWrap w:val="0"/>
            <w:vAlign w:val="center"/>
          </w:tcPr>
          <w:p w14:paraId="12A83C99">
            <w:pPr>
              <w:keepNext w:val="0"/>
              <w:keepLines w:val="0"/>
              <w:widowControl/>
              <w:suppressLineNumbers w:val="0"/>
              <w:jc w:val="left"/>
              <w:textAlignment w:val="center"/>
              <w:rPr>
                <w:rStyle w:val="14"/>
                <w:rFonts w:eastAsia="宋体"/>
                <w:lang w:val="en-US" w:eastAsia="zh-CN" w:bidi="ar"/>
              </w:rPr>
            </w:pPr>
          </w:p>
          <w:p w14:paraId="27CD4195">
            <w:pPr>
              <w:keepNext w:val="0"/>
              <w:keepLines w:val="0"/>
              <w:widowControl/>
              <w:suppressLineNumbers w:val="0"/>
              <w:jc w:val="left"/>
              <w:textAlignment w:val="center"/>
              <w:rPr>
                <w:rStyle w:val="13"/>
                <w:lang w:val="en-US" w:eastAsia="zh-CN" w:bidi="ar"/>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变动率</w:t>
            </w:r>
            <w:r>
              <w:rPr>
                <w:rStyle w:val="14"/>
                <w:rFonts w:eastAsia="宋体"/>
                <w:lang w:val="en-US" w:eastAsia="zh-CN" w:bidi="ar"/>
              </w:rPr>
              <w:t>=[</w:t>
            </w:r>
            <w:r>
              <w:rPr>
                <w:rStyle w:val="13"/>
                <w:lang w:val="en-US" w:eastAsia="zh-CN" w:bidi="ar"/>
              </w:rPr>
              <w:t>（本年度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]×100%</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：年度预算安排的因公出国（境）费、公务车辆购置及运行费和公务招待费。</w:t>
            </w:r>
          </w:p>
          <w:p w14:paraId="3BACDBF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该项得分，变动率为负数，计</w:t>
            </w:r>
            <w:r>
              <w:rPr>
                <w:rStyle w:val="14"/>
                <w:rFonts w:eastAsia="宋体"/>
                <w:lang w:val="en-US" w:eastAsia="zh-CN" w:bidi="ar"/>
              </w:rPr>
              <w:t>2</w:t>
            </w:r>
            <w:r>
              <w:rPr>
                <w:rStyle w:val="13"/>
                <w:lang w:val="en-US" w:eastAsia="zh-CN" w:bidi="ar"/>
              </w:rPr>
              <w:t>分，变动率为正数，计</w:t>
            </w:r>
            <w:r>
              <w:rPr>
                <w:rStyle w:val="14"/>
                <w:rFonts w:eastAsia="宋体"/>
                <w:lang w:val="en-US" w:eastAsia="zh-CN" w:bidi="ar"/>
              </w:rPr>
              <w:t>0</w:t>
            </w:r>
            <w:r>
              <w:rPr>
                <w:rStyle w:val="13"/>
                <w:lang w:val="en-US" w:eastAsia="zh-CN" w:bidi="ar"/>
              </w:rPr>
              <w:t>分。年度内</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完成数超过预算数，则该项计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056B233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本年度和上年度部门（单位）预算</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报表；</w:t>
            </w:r>
          </w:p>
        </w:tc>
        <w:tc>
          <w:tcPr>
            <w:tcW w:w="586" w:type="dxa"/>
            <w:tcBorders>
              <w:tl2br w:val="nil"/>
              <w:tr2bl w:val="nil"/>
            </w:tcBorders>
            <w:noWrap w:val="0"/>
            <w:vAlign w:val="center"/>
          </w:tcPr>
          <w:p w14:paraId="3A87CAF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37C4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14:paraId="6D391BB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8AD63D1">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76C8DAC">
            <w:pPr>
              <w:keepNext w:val="0"/>
              <w:keepLines w:val="0"/>
              <w:widowControl/>
              <w:suppressLineNumbers w:val="0"/>
              <w:jc w:val="center"/>
              <w:textAlignment w:val="center"/>
              <w:rPr>
                <w:rStyle w:val="13"/>
                <w:lang w:val="en-US" w:eastAsia="zh-CN" w:bidi="ar"/>
              </w:rPr>
            </w:pPr>
            <w:r>
              <w:rPr>
                <w:rStyle w:val="13"/>
                <w:lang w:val="en-US" w:eastAsia="zh-CN" w:bidi="ar"/>
              </w:rPr>
              <w:t>重点</w:t>
            </w:r>
          </w:p>
          <w:p w14:paraId="138F74D2">
            <w:pPr>
              <w:keepNext w:val="0"/>
              <w:keepLines w:val="0"/>
              <w:widowControl/>
              <w:suppressLineNumbers w:val="0"/>
              <w:jc w:val="center"/>
              <w:textAlignment w:val="center"/>
              <w:rPr>
                <w:rStyle w:val="13"/>
                <w:lang w:val="en-US" w:eastAsia="zh-CN" w:bidi="ar"/>
              </w:rPr>
            </w:pPr>
            <w:r>
              <w:rPr>
                <w:rStyle w:val="13"/>
                <w:lang w:val="en-US" w:eastAsia="zh-CN" w:bidi="ar"/>
              </w:rPr>
              <w:t>支出</w:t>
            </w:r>
          </w:p>
          <w:p w14:paraId="3F74C9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安排率</w:t>
            </w:r>
          </w:p>
        </w:tc>
        <w:tc>
          <w:tcPr>
            <w:tcW w:w="495" w:type="dxa"/>
            <w:tcBorders>
              <w:tl2br w:val="nil"/>
              <w:tr2bl w:val="nil"/>
            </w:tcBorders>
            <w:noWrap w:val="0"/>
            <w:vAlign w:val="center"/>
          </w:tcPr>
          <w:p w14:paraId="141693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29736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14:paraId="75C47020">
            <w:pPr>
              <w:keepNext w:val="0"/>
              <w:keepLines w:val="0"/>
              <w:widowControl/>
              <w:suppressLineNumbers w:val="0"/>
              <w:jc w:val="left"/>
              <w:textAlignment w:val="center"/>
              <w:rPr>
                <w:rStyle w:val="13"/>
                <w:lang w:val="en-US" w:eastAsia="zh-CN" w:bidi="ar"/>
              </w:rPr>
            </w:pPr>
          </w:p>
          <w:p w14:paraId="03258781">
            <w:pPr>
              <w:keepNext w:val="0"/>
              <w:keepLines w:val="0"/>
              <w:widowControl/>
              <w:suppressLineNumbers w:val="0"/>
              <w:jc w:val="left"/>
              <w:textAlignment w:val="center"/>
              <w:rPr>
                <w:rStyle w:val="13"/>
                <w:lang w:val="en-US" w:eastAsia="zh-CN" w:bidi="ar"/>
              </w:rPr>
            </w:pPr>
            <w:r>
              <w:rPr>
                <w:rStyle w:val="13"/>
                <w:lang w:val="en-US" w:eastAsia="zh-CN" w:bidi="ar"/>
              </w:rPr>
              <w:t>重点支出安排率</w:t>
            </w:r>
            <w:r>
              <w:rPr>
                <w:rStyle w:val="14"/>
                <w:rFonts w:eastAsia="宋体"/>
                <w:lang w:val="en-US" w:eastAsia="zh-CN" w:bidi="ar"/>
              </w:rPr>
              <w:t>=</w:t>
            </w:r>
            <w:r>
              <w:rPr>
                <w:rStyle w:val="13"/>
                <w:lang w:val="en-US" w:eastAsia="zh-CN" w:bidi="ar"/>
              </w:rPr>
              <w:t>（重点实际支出</w:t>
            </w:r>
            <w:r>
              <w:rPr>
                <w:rStyle w:val="14"/>
                <w:rFonts w:eastAsia="宋体"/>
                <w:lang w:val="en-US" w:eastAsia="zh-CN" w:bidi="ar"/>
              </w:rPr>
              <w:t>/</w:t>
            </w:r>
            <w:r>
              <w:rPr>
                <w:rStyle w:val="13"/>
                <w:lang w:val="en-US" w:eastAsia="zh-CN" w:bidi="ar"/>
              </w:rPr>
              <w:t>重点预算支出）</w:t>
            </w:r>
            <w:r>
              <w:rPr>
                <w:rStyle w:val="14"/>
                <w:rFonts w:eastAsia="宋体"/>
                <w:lang w:val="en-US" w:eastAsia="zh-CN" w:bidi="ar"/>
              </w:rPr>
              <w:t>×100%</w:t>
            </w:r>
            <w:r>
              <w:rPr>
                <w:rStyle w:val="13"/>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p>
          <w:p w14:paraId="4AC6A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该项得分</w:t>
            </w:r>
            <w:r>
              <w:rPr>
                <w:rStyle w:val="14"/>
                <w:rFonts w:eastAsia="宋体"/>
                <w:lang w:val="en-US" w:eastAsia="zh-CN" w:bidi="ar"/>
              </w:rPr>
              <w:t>=</w:t>
            </w:r>
            <w:r>
              <w:rPr>
                <w:rStyle w:val="13"/>
                <w:lang w:val="en-US" w:eastAsia="zh-CN" w:bidi="ar"/>
              </w:rPr>
              <w:t>安排率</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5</w:t>
            </w:r>
            <w:r>
              <w:rPr>
                <w:rStyle w:val="13"/>
                <w:lang w:val="en-US" w:eastAsia="zh-CN" w:bidi="ar"/>
              </w:rPr>
              <w:t>%扣</w:t>
            </w:r>
            <w:r>
              <w:rPr>
                <w:rStyle w:val="14"/>
                <w:rFonts w:eastAsia="宋体"/>
                <w:lang w:val="en-US" w:eastAsia="zh-CN" w:bidi="ar"/>
              </w:rPr>
              <w:t>0.5</w:t>
            </w:r>
            <w:r>
              <w:rPr>
                <w:rStyle w:val="13"/>
                <w:lang w:val="en-US" w:eastAsia="zh-CN" w:bidi="ar"/>
              </w:rPr>
              <w:t>分，扣完为止。</w:t>
            </w:r>
          </w:p>
        </w:tc>
        <w:tc>
          <w:tcPr>
            <w:tcW w:w="2115" w:type="dxa"/>
            <w:tcBorders>
              <w:tl2br w:val="nil"/>
              <w:tr2bl w:val="nil"/>
            </w:tcBorders>
            <w:noWrap w:val="0"/>
            <w:vAlign w:val="center"/>
          </w:tcPr>
          <w:p w14:paraId="572D03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1ED5DF2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14E38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14:paraId="39F47A2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7B7E88C">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A4853D3">
            <w:pPr>
              <w:keepNext w:val="0"/>
              <w:keepLines w:val="0"/>
              <w:widowControl/>
              <w:suppressLineNumbers w:val="0"/>
              <w:jc w:val="center"/>
              <w:textAlignment w:val="center"/>
              <w:rPr>
                <w:rStyle w:val="13"/>
                <w:lang w:val="en-US" w:eastAsia="zh-CN" w:bidi="ar"/>
              </w:rPr>
            </w:pPr>
            <w:r>
              <w:rPr>
                <w:rStyle w:val="13"/>
                <w:lang w:val="en-US" w:eastAsia="zh-CN" w:bidi="ar"/>
              </w:rPr>
              <w:t>非税</w:t>
            </w:r>
          </w:p>
          <w:p w14:paraId="088E8FFE">
            <w:pPr>
              <w:keepNext w:val="0"/>
              <w:keepLines w:val="0"/>
              <w:widowControl/>
              <w:suppressLineNumbers w:val="0"/>
              <w:jc w:val="center"/>
              <w:textAlignment w:val="center"/>
              <w:rPr>
                <w:rStyle w:val="13"/>
                <w:lang w:val="en-US" w:eastAsia="zh-CN" w:bidi="ar"/>
              </w:rPr>
            </w:pPr>
            <w:r>
              <w:rPr>
                <w:rStyle w:val="13"/>
                <w:lang w:val="en-US" w:eastAsia="zh-CN" w:bidi="ar"/>
              </w:rPr>
              <w:t>收入</w:t>
            </w:r>
          </w:p>
          <w:p w14:paraId="7E5F50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安排率</w:t>
            </w:r>
          </w:p>
        </w:tc>
        <w:tc>
          <w:tcPr>
            <w:tcW w:w="495" w:type="dxa"/>
            <w:tcBorders>
              <w:tl2br w:val="nil"/>
              <w:tr2bl w:val="nil"/>
            </w:tcBorders>
            <w:noWrap w:val="0"/>
            <w:vAlign w:val="center"/>
          </w:tcPr>
          <w:p w14:paraId="2F8A4D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131A83B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反映部门本年度非税收入完成情况。</w:t>
            </w:r>
          </w:p>
        </w:tc>
        <w:tc>
          <w:tcPr>
            <w:tcW w:w="5112" w:type="dxa"/>
            <w:tcBorders>
              <w:tl2br w:val="nil"/>
              <w:tr2bl w:val="nil"/>
            </w:tcBorders>
            <w:noWrap w:val="0"/>
            <w:vAlign w:val="center"/>
          </w:tcPr>
          <w:p w14:paraId="7AE6D43D">
            <w:pPr>
              <w:keepNext w:val="0"/>
              <w:keepLines w:val="0"/>
              <w:widowControl/>
              <w:suppressLineNumbers w:val="0"/>
              <w:jc w:val="left"/>
              <w:textAlignment w:val="center"/>
              <w:rPr>
                <w:rStyle w:val="13"/>
                <w:lang w:val="en-US" w:eastAsia="zh-CN" w:bidi="ar"/>
              </w:rPr>
            </w:pPr>
          </w:p>
          <w:p w14:paraId="73A84E0D">
            <w:pPr>
              <w:keepNext w:val="0"/>
              <w:keepLines w:val="0"/>
              <w:widowControl/>
              <w:suppressLineNumbers w:val="0"/>
              <w:jc w:val="left"/>
              <w:textAlignment w:val="center"/>
              <w:rPr>
                <w:rStyle w:val="13"/>
                <w:lang w:val="en-US" w:eastAsia="zh-CN" w:bidi="ar"/>
              </w:rPr>
            </w:pPr>
            <w:r>
              <w:rPr>
                <w:rStyle w:val="13"/>
                <w:lang w:val="en-US" w:eastAsia="zh-CN" w:bidi="ar"/>
              </w:rPr>
              <w:t>非税收入完成率</w:t>
            </w:r>
            <w:r>
              <w:rPr>
                <w:rStyle w:val="14"/>
                <w:rFonts w:eastAsia="宋体"/>
                <w:lang w:val="en-US" w:eastAsia="zh-CN" w:bidi="ar"/>
              </w:rPr>
              <w:t>=</w:t>
            </w:r>
            <w:r>
              <w:rPr>
                <w:rStyle w:val="13"/>
                <w:lang w:val="en-US" w:eastAsia="zh-CN" w:bidi="ar"/>
              </w:rPr>
              <w:t>（非税实际收入完成数</w:t>
            </w:r>
            <w:r>
              <w:rPr>
                <w:rStyle w:val="14"/>
                <w:rFonts w:eastAsia="宋体"/>
                <w:lang w:val="en-US" w:eastAsia="zh-CN" w:bidi="ar"/>
              </w:rPr>
              <w:t>/</w:t>
            </w:r>
            <w:r>
              <w:rPr>
                <w:rStyle w:val="13"/>
                <w:lang w:val="en-US" w:eastAsia="zh-CN" w:bidi="ar"/>
              </w:rPr>
              <w:t>非税收入预算数）</w:t>
            </w:r>
            <w:r>
              <w:rPr>
                <w:rStyle w:val="14"/>
                <w:rFonts w:eastAsia="宋体"/>
                <w:lang w:val="en-US" w:eastAsia="zh-CN" w:bidi="ar"/>
              </w:rPr>
              <w:t>×100%</w:t>
            </w:r>
            <w:r>
              <w:rPr>
                <w:rStyle w:val="13"/>
                <w:lang w:val="en-US" w:eastAsia="zh-CN" w:bidi="ar"/>
              </w:rPr>
              <w:t>，有减免因素的，以财政事务中心确定的为准。</w:t>
            </w:r>
          </w:p>
          <w:p w14:paraId="6489C48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w:t>
            </w:r>
            <w:r>
              <w:rPr>
                <w:rStyle w:val="14"/>
                <w:rFonts w:eastAsia="宋体"/>
                <w:lang w:val="en-US" w:eastAsia="zh-CN" w:bidi="ar"/>
              </w:rPr>
              <w:t>=</w:t>
            </w:r>
            <w:r>
              <w:rPr>
                <w:rStyle w:val="13"/>
                <w:lang w:val="en-US" w:eastAsia="zh-CN" w:bidi="ar"/>
              </w:rPr>
              <w:t>完成率</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14:paraId="4668D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15CBD7A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022B4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14:paraId="623C797C">
            <w:pPr>
              <w:keepNext w:val="0"/>
              <w:keepLines w:val="0"/>
              <w:widowControl/>
              <w:suppressLineNumbers w:val="0"/>
              <w:jc w:val="center"/>
              <w:textAlignment w:val="center"/>
              <w:rPr>
                <w:rStyle w:val="13"/>
                <w:lang w:val="en-US" w:eastAsia="zh-CN" w:bidi="ar"/>
              </w:rPr>
            </w:pPr>
            <w:r>
              <w:rPr>
                <w:rStyle w:val="13"/>
                <w:lang w:val="en-US" w:eastAsia="zh-CN" w:bidi="ar"/>
              </w:rPr>
              <w:t>过程</w:t>
            </w:r>
          </w:p>
          <w:p w14:paraId="5DBD9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w:t>
            </w:r>
            <w:r>
              <w:rPr>
                <w:rStyle w:val="14"/>
                <w:rFonts w:eastAsia="宋体"/>
                <w:lang w:val="en-US" w:eastAsia="zh-CN" w:bidi="ar"/>
              </w:rPr>
              <w:t>47</w:t>
            </w:r>
            <w:r>
              <w:rPr>
                <w:rStyle w:val="13"/>
                <w:lang w:val="en-US" w:eastAsia="zh-CN" w:bidi="ar"/>
              </w:rPr>
              <w:t>分）</w:t>
            </w:r>
          </w:p>
        </w:tc>
        <w:tc>
          <w:tcPr>
            <w:tcW w:w="870" w:type="dxa"/>
            <w:vMerge w:val="restart"/>
            <w:tcBorders>
              <w:tl2br w:val="nil"/>
              <w:tr2bl w:val="nil"/>
            </w:tcBorders>
            <w:noWrap w:val="0"/>
            <w:vAlign w:val="center"/>
          </w:tcPr>
          <w:p w14:paraId="3507BEC7">
            <w:pPr>
              <w:keepNext w:val="0"/>
              <w:keepLines w:val="0"/>
              <w:widowControl/>
              <w:suppressLineNumbers w:val="0"/>
              <w:jc w:val="center"/>
              <w:textAlignment w:val="center"/>
              <w:rPr>
                <w:rStyle w:val="13"/>
                <w:lang w:val="en-US" w:eastAsia="zh-CN" w:bidi="ar"/>
              </w:rPr>
            </w:pPr>
            <w:r>
              <w:rPr>
                <w:rStyle w:val="13"/>
                <w:lang w:val="en-US" w:eastAsia="zh-CN" w:bidi="ar"/>
              </w:rPr>
              <w:t>预算</w:t>
            </w:r>
          </w:p>
          <w:p w14:paraId="2A5A66E1">
            <w:pPr>
              <w:keepNext w:val="0"/>
              <w:keepLines w:val="0"/>
              <w:widowControl/>
              <w:suppressLineNumbers w:val="0"/>
              <w:jc w:val="center"/>
              <w:textAlignment w:val="center"/>
              <w:rPr>
                <w:rStyle w:val="13"/>
                <w:lang w:val="en-US" w:eastAsia="zh-CN" w:bidi="ar"/>
              </w:rPr>
            </w:pPr>
            <w:r>
              <w:rPr>
                <w:rStyle w:val="13"/>
                <w:lang w:val="en-US" w:eastAsia="zh-CN" w:bidi="ar"/>
              </w:rPr>
              <w:t>执行</w:t>
            </w:r>
          </w:p>
          <w:p w14:paraId="4A745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rFonts w:eastAsia="宋体"/>
                <w:lang w:val="en-US" w:eastAsia="zh-CN" w:bidi="ar"/>
              </w:rPr>
              <w:t>(13</w:t>
            </w:r>
            <w:r>
              <w:rPr>
                <w:rStyle w:val="13"/>
                <w:lang w:val="en-US" w:eastAsia="zh-CN" w:bidi="ar"/>
              </w:rPr>
              <w:t>分）</w:t>
            </w:r>
          </w:p>
        </w:tc>
        <w:tc>
          <w:tcPr>
            <w:tcW w:w="1050" w:type="dxa"/>
            <w:tcBorders>
              <w:tl2br w:val="nil"/>
              <w:tr2bl w:val="nil"/>
            </w:tcBorders>
            <w:noWrap w:val="0"/>
            <w:vAlign w:val="center"/>
          </w:tcPr>
          <w:p w14:paraId="4A585A55">
            <w:pPr>
              <w:keepNext w:val="0"/>
              <w:keepLines w:val="0"/>
              <w:widowControl/>
              <w:suppressLineNumbers w:val="0"/>
              <w:jc w:val="center"/>
              <w:textAlignment w:val="center"/>
              <w:rPr>
                <w:rStyle w:val="13"/>
                <w:lang w:val="en-US" w:eastAsia="zh-CN" w:bidi="ar"/>
              </w:rPr>
            </w:pPr>
            <w:r>
              <w:rPr>
                <w:rStyle w:val="13"/>
                <w:lang w:val="en-US" w:eastAsia="zh-CN" w:bidi="ar"/>
              </w:rPr>
              <w:t>预算</w:t>
            </w:r>
          </w:p>
          <w:p w14:paraId="07D5E6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执行率</w:t>
            </w:r>
          </w:p>
        </w:tc>
        <w:tc>
          <w:tcPr>
            <w:tcW w:w="495" w:type="dxa"/>
            <w:tcBorders>
              <w:tl2br w:val="nil"/>
              <w:tr2bl w:val="nil"/>
            </w:tcBorders>
            <w:noWrap w:val="0"/>
            <w:vAlign w:val="center"/>
          </w:tcPr>
          <w:p w14:paraId="6C2C49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5C720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14:paraId="534EC988">
            <w:pPr>
              <w:keepNext w:val="0"/>
              <w:keepLines w:val="0"/>
              <w:widowControl/>
              <w:suppressLineNumbers w:val="0"/>
              <w:jc w:val="left"/>
              <w:textAlignment w:val="center"/>
              <w:rPr>
                <w:rStyle w:val="13"/>
                <w:lang w:val="en-US" w:eastAsia="zh-CN" w:bidi="ar"/>
              </w:rPr>
            </w:pPr>
          </w:p>
          <w:p w14:paraId="71BFDF32">
            <w:pPr>
              <w:keepNext w:val="0"/>
              <w:keepLines w:val="0"/>
              <w:widowControl/>
              <w:suppressLineNumbers w:val="0"/>
              <w:jc w:val="left"/>
              <w:textAlignment w:val="center"/>
              <w:rPr>
                <w:rStyle w:val="13"/>
                <w:lang w:val="en-US" w:eastAsia="zh-CN" w:bidi="ar"/>
              </w:rPr>
            </w:pPr>
            <w:r>
              <w:rPr>
                <w:rStyle w:val="13"/>
                <w:lang w:val="en-US" w:eastAsia="zh-CN" w:bidi="ar"/>
              </w:rPr>
              <w:t>①预算执行率</w:t>
            </w:r>
            <w:r>
              <w:rPr>
                <w:rStyle w:val="14"/>
                <w:rFonts w:eastAsia="宋体"/>
                <w:lang w:val="en-US" w:eastAsia="zh-CN" w:bidi="ar"/>
              </w:rPr>
              <w:t>=</w:t>
            </w:r>
            <w:r>
              <w:rPr>
                <w:rStyle w:val="13"/>
                <w:lang w:val="en-US" w:eastAsia="zh-CN" w:bidi="ar"/>
              </w:rPr>
              <w:t>（预算完成数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p>
          <w:p w14:paraId="14CE132F">
            <w:pPr>
              <w:keepNext w:val="0"/>
              <w:keepLines w:val="0"/>
              <w:widowControl/>
              <w:suppressLineNumbers w:val="0"/>
              <w:jc w:val="left"/>
              <w:textAlignment w:val="center"/>
              <w:rPr>
                <w:rStyle w:val="13"/>
                <w:lang w:val="en-US" w:eastAsia="zh-CN" w:bidi="ar"/>
              </w:rPr>
            </w:pPr>
            <w:r>
              <w:rPr>
                <w:rStyle w:val="13"/>
                <w:lang w:val="en-US" w:eastAsia="zh-CN" w:bidi="ar"/>
              </w:rPr>
              <w:t>预算执行数：部门（单位）本年度实际完成的预算数。</w:t>
            </w:r>
          </w:p>
          <w:p w14:paraId="0FE64A4F">
            <w:pPr>
              <w:keepNext w:val="0"/>
              <w:keepLines w:val="0"/>
              <w:widowControl/>
              <w:suppressLineNumbers w:val="0"/>
              <w:jc w:val="left"/>
              <w:textAlignment w:val="center"/>
              <w:rPr>
                <w:rStyle w:val="13"/>
                <w:lang w:val="en-US" w:eastAsia="zh-CN" w:bidi="ar"/>
              </w:rPr>
            </w:pPr>
            <w:r>
              <w:rPr>
                <w:rStyle w:val="13"/>
                <w:lang w:val="en-US" w:eastAsia="zh-CN" w:bidi="ar"/>
              </w:rPr>
              <w:t>预算数：财政部门批复的本年度部门（单位）预算数及追加的预算数。</w:t>
            </w:r>
          </w:p>
          <w:p w14:paraId="0CD758B5">
            <w:pPr>
              <w:keepNext w:val="0"/>
              <w:keepLines w:val="0"/>
              <w:widowControl/>
              <w:suppressLineNumbers w:val="0"/>
              <w:jc w:val="left"/>
              <w:textAlignment w:val="center"/>
              <w:rPr>
                <w:rStyle w:val="13"/>
                <w:lang w:val="en-US" w:eastAsia="zh-CN" w:bidi="ar"/>
              </w:rPr>
            </w:pPr>
            <w:r>
              <w:rPr>
                <w:rStyle w:val="13"/>
                <w:lang w:val="en-US" w:eastAsia="zh-CN" w:bidi="ar"/>
              </w:rPr>
              <w:t>该项得分，全年预算执行率</w:t>
            </w:r>
            <w:r>
              <w:rPr>
                <w:rStyle w:val="14"/>
                <w:rFonts w:eastAsia="宋体"/>
                <w:lang w:val="en-US" w:eastAsia="zh-CN" w:bidi="ar"/>
              </w:rPr>
              <w:t>95%</w:t>
            </w:r>
            <w:r>
              <w:rPr>
                <w:rStyle w:val="13"/>
                <w:lang w:val="en-US" w:eastAsia="zh-CN" w:bidi="ar"/>
              </w:rPr>
              <w:t>以上计</w:t>
            </w:r>
            <w:r>
              <w:rPr>
                <w:rStyle w:val="14"/>
                <w:rFonts w:eastAsia="宋体"/>
                <w:lang w:val="en-US" w:eastAsia="zh-CN" w:bidi="ar"/>
              </w:rPr>
              <w:t>2</w:t>
            </w:r>
            <w:r>
              <w:rPr>
                <w:rStyle w:val="13"/>
                <w:lang w:val="en-US" w:eastAsia="zh-CN" w:bidi="ar"/>
              </w:rPr>
              <w:t>分，</w:t>
            </w:r>
            <w:r>
              <w:rPr>
                <w:rStyle w:val="14"/>
                <w:rFonts w:eastAsia="宋体"/>
                <w:lang w:val="en-US" w:eastAsia="zh-CN" w:bidi="ar"/>
              </w:rPr>
              <w:t>95-90%</w:t>
            </w:r>
            <w:r>
              <w:rPr>
                <w:rStyle w:val="13"/>
                <w:lang w:val="en-US" w:eastAsia="zh-CN" w:bidi="ar"/>
              </w:rPr>
              <w:t>（含），计</w:t>
            </w:r>
            <w:r>
              <w:rPr>
                <w:rStyle w:val="14"/>
                <w:rFonts w:eastAsia="宋体"/>
                <w:lang w:val="en-US" w:eastAsia="zh-CN" w:bidi="ar"/>
              </w:rPr>
              <w:t>1</w:t>
            </w:r>
            <w:r>
              <w:rPr>
                <w:rStyle w:val="13"/>
                <w:lang w:val="en-US" w:eastAsia="zh-CN" w:bidi="ar"/>
              </w:rPr>
              <w:t>分，</w:t>
            </w:r>
            <w:r>
              <w:rPr>
                <w:rStyle w:val="14"/>
                <w:rFonts w:eastAsia="宋体"/>
                <w:lang w:val="en-US" w:eastAsia="zh-CN" w:bidi="ar"/>
              </w:rPr>
              <w:t>90-80%</w:t>
            </w:r>
            <w:r>
              <w:rPr>
                <w:rStyle w:val="13"/>
                <w:lang w:val="en-US" w:eastAsia="zh-CN" w:bidi="ar"/>
              </w:rPr>
              <w:t>（含），计</w:t>
            </w:r>
            <w:r>
              <w:rPr>
                <w:rStyle w:val="14"/>
                <w:rFonts w:eastAsia="宋体"/>
                <w:lang w:val="en-US" w:eastAsia="zh-CN" w:bidi="ar"/>
              </w:rPr>
              <w:t>0.5</w:t>
            </w:r>
            <w:r>
              <w:rPr>
                <w:rStyle w:val="13"/>
                <w:lang w:val="en-US" w:eastAsia="zh-CN" w:bidi="ar"/>
              </w:rPr>
              <w:t>分，小于</w:t>
            </w:r>
            <w:r>
              <w:rPr>
                <w:rStyle w:val="14"/>
                <w:rFonts w:eastAsia="宋体"/>
                <w:lang w:val="en-US" w:eastAsia="zh-CN" w:bidi="ar"/>
              </w:rPr>
              <w:t>80%</w:t>
            </w:r>
            <w:r>
              <w:rPr>
                <w:rStyle w:val="13"/>
                <w:lang w:val="en-US" w:eastAsia="zh-CN" w:bidi="ar"/>
              </w:rPr>
              <w:t>不得分；</w:t>
            </w:r>
          </w:p>
          <w:p w14:paraId="0896FACC">
            <w:pPr>
              <w:keepNext w:val="0"/>
              <w:keepLines w:val="0"/>
              <w:widowControl/>
              <w:suppressLineNumbers w:val="0"/>
              <w:jc w:val="left"/>
              <w:textAlignment w:val="center"/>
              <w:rPr>
                <w:rStyle w:val="13"/>
                <w:lang w:val="en-US" w:eastAsia="zh-CN" w:bidi="ar"/>
              </w:rPr>
            </w:pPr>
            <w:r>
              <w:rPr>
                <w:rStyle w:val="13"/>
                <w:lang w:val="en-US" w:eastAsia="zh-CN" w:bidi="ar"/>
              </w:rPr>
              <w:t>②绩效目标执行监控是否按要求完成。</w:t>
            </w:r>
          </w:p>
          <w:p w14:paraId="7DE43DD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该项得分，实施项目资金运行监控的得</w:t>
            </w:r>
            <w:r>
              <w:rPr>
                <w:rStyle w:val="14"/>
                <w:rFonts w:eastAsia="宋体"/>
                <w:lang w:val="en-US" w:eastAsia="zh-CN" w:bidi="ar"/>
              </w:rPr>
              <w:t>2</w:t>
            </w:r>
            <w:r>
              <w:rPr>
                <w:rStyle w:val="13"/>
                <w:lang w:val="en-US" w:eastAsia="zh-CN" w:bidi="ar"/>
              </w:rPr>
              <w:t>分，未实施的不得分。</w:t>
            </w:r>
          </w:p>
        </w:tc>
        <w:tc>
          <w:tcPr>
            <w:tcW w:w="2115" w:type="dxa"/>
            <w:tcBorders>
              <w:tl2br w:val="nil"/>
              <w:tr2bl w:val="nil"/>
            </w:tcBorders>
            <w:noWrap w:val="0"/>
            <w:vAlign w:val="center"/>
          </w:tcPr>
          <w:p w14:paraId="277EF3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14:paraId="654131A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68C77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14:paraId="303C7360">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D8B68B0">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266B39A">
            <w:pPr>
              <w:keepNext w:val="0"/>
              <w:keepLines w:val="0"/>
              <w:widowControl/>
              <w:suppressLineNumbers w:val="0"/>
              <w:jc w:val="center"/>
              <w:textAlignment w:val="center"/>
              <w:rPr>
                <w:rStyle w:val="13"/>
                <w:lang w:val="en-US" w:eastAsia="zh-CN" w:bidi="ar"/>
              </w:rPr>
            </w:pPr>
            <w:r>
              <w:rPr>
                <w:rStyle w:val="13"/>
                <w:lang w:val="en-US" w:eastAsia="zh-CN" w:bidi="ar"/>
              </w:rPr>
              <w:t>预算</w:t>
            </w:r>
          </w:p>
          <w:p w14:paraId="7273A8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调整率</w:t>
            </w:r>
          </w:p>
        </w:tc>
        <w:tc>
          <w:tcPr>
            <w:tcW w:w="495" w:type="dxa"/>
            <w:tcBorders>
              <w:tl2br w:val="nil"/>
              <w:tr2bl w:val="nil"/>
            </w:tcBorders>
            <w:noWrap w:val="0"/>
            <w:vAlign w:val="center"/>
          </w:tcPr>
          <w:p w14:paraId="709216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234832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14:paraId="22FF6B1A">
            <w:pPr>
              <w:keepNext w:val="0"/>
              <w:keepLines w:val="0"/>
              <w:widowControl/>
              <w:suppressLineNumbers w:val="0"/>
              <w:jc w:val="left"/>
              <w:textAlignment w:val="center"/>
              <w:rPr>
                <w:rStyle w:val="13"/>
                <w:lang w:val="en-US" w:eastAsia="zh-CN" w:bidi="ar"/>
              </w:rPr>
            </w:pPr>
          </w:p>
          <w:p w14:paraId="4BEE85BB">
            <w:pPr>
              <w:keepNext w:val="0"/>
              <w:keepLines w:val="0"/>
              <w:widowControl/>
              <w:suppressLineNumbers w:val="0"/>
              <w:jc w:val="left"/>
              <w:textAlignment w:val="center"/>
              <w:rPr>
                <w:rStyle w:val="13"/>
                <w:lang w:val="en-US" w:eastAsia="zh-CN" w:bidi="ar"/>
              </w:rPr>
            </w:pPr>
            <w:r>
              <w:rPr>
                <w:rStyle w:val="13"/>
                <w:lang w:val="en-US" w:eastAsia="zh-CN" w:bidi="ar"/>
              </w:rPr>
              <w:t>预算调整率</w:t>
            </w:r>
            <w:r>
              <w:rPr>
                <w:rStyle w:val="14"/>
                <w:rFonts w:eastAsia="宋体"/>
                <w:lang w:val="en-US" w:eastAsia="zh-CN" w:bidi="ar"/>
              </w:rPr>
              <w:t>=</w:t>
            </w:r>
            <w:r>
              <w:rPr>
                <w:rStyle w:val="13"/>
                <w:lang w:val="en-US" w:eastAsia="zh-CN" w:bidi="ar"/>
              </w:rPr>
              <w:t>（预算调整数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p>
          <w:p w14:paraId="42A2C101">
            <w:pPr>
              <w:keepNext w:val="0"/>
              <w:keepLines w:val="0"/>
              <w:widowControl/>
              <w:suppressLineNumbers w:val="0"/>
              <w:jc w:val="left"/>
              <w:textAlignment w:val="center"/>
              <w:rPr>
                <w:rStyle w:val="13"/>
                <w:lang w:val="en-US" w:eastAsia="zh-CN" w:bidi="ar"/>
              </w:rPr>
            </w:pPr>
            <w:r>
              <w:rPr>
                <w:rStyle w:val="13"/>
                <w:lang w:val="en-US" w:eastAsia="zh-CN" w:bidi="ar"/>
              </w:rPr>
              <w:t>预算调整数：部门（单位）在本年度内涉及预算的追加、追减或结构调整的资金总和（因落实国家政策、发生不可抗力，市委、市政府临时交办而产生的调整及经济科目非跨类调整除外）。</w:t>
            </w:r>
          </w:p>
          <w:p w14:paraId="01148C6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该项得分，预算调整率</w:t>
            </w:r>
            <w:r>
              <w:rPr>
                <w:rStyle w:val="14"/>
                <w:rFonts w:eastAsia="宋体"/>
                <w:lang w:val="en-US" w:eastAsia="zh-CN" w:bidi="ar"/>
              </w:rPr>
              <w:t>&lt;5%</w:t>
            </w:r>
            <w:r>
              <w:rPr>
                <w:rStyle w:val="13"/>
                <w:lang w:val="en-US" w:eastAsia="zh-CN" w:bidi="ar"/>
              </w:rPr>
              <w:t>，计</w:t>
            </w:r>
            <w:r>
              <w:rPr>
                <w:rStyle w:val="14"/>
                <w:rFonts w:eastAsia="宋体"/>
                <w:lang w:val="en-US" w:eastAsia="zh-CN" w:bidi="ar"/>
              </w:rPr>
              <w:t>2</w:t>
            </w:r>
            <w:r>
              <w:rPr>
                <w:rStyle w:val="13"/>
                <w:lang w:val="en-US" w:eastAsia="zh-CN" w:bidi="ar"/>
              </w:rPr>
              <w:t>分；</w:t>
            </w:r>
            <w:r>
              <w:rPr>
                <w:rStyle w:val="14"/>
                <w:rFonts w:eastAsia="宋体"/>
                <w:lang w:val="en-US" w:eastAsia="zh-CN" w:bidi="ar"/>
              </w:rPr>
              <w:t>5-10%</w:t>
            </w:r>
            <w:r>
              <w:rPr>
                <w:rStyle w:val="13"/>
                <w:lang w:val="en-US" w:eastAsia="zh-CN" w:bidi="ar"/>
              </w:rPr>
              <w:t>（含），计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10%</w:t>
            </w:r>
            <w:r>
              <w:rPr>
                <w:rStyle w:val="13"/>
                <w:lang w:val="en-US" w:eastAsia="zh-CN" w:bidi="ar"/>
              </w:rPr>
              <w:t>不得分。</w:t>
            </w:r>
          </w:p>
        </w:tc>
        <w:tc>
          <w:tcPr>
            <w:tcW w:w="2115" w:type="dxa"/>
            <w:tcBorders>
              <w:tl2br w:val="nil"/>
              <w:tr2bl w:val="nil"/>
            </w:tcBorders>
            <w:noWrap w:val="0"/>
            <w:vAlign w:val="center"/>
          </w:tcPr>
          <w:p w14:paraId="5B26CF1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14:paraId="5F6A6C1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4CA33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45062D0D">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4A6F362">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B30C081">
            <w:pPr>
              <w:keepNext w:val="0"/>
              <w:keepLines w:val="0"/>
              <w:widowControl/>
              <w:suppressLineNumbers w:val="0"/>
              <w:jc w:val="center"/>
              <w:textAlignment w:val="center"/>
              <w:rPr>
                <w:rStyle w:val="13"/>
                <w:lang w:val="en-US" w:eastAsia="zh-CN" w:bidi="ar"/>
              </w:rPr>
            </w:pPr>
            <w:r>
              <w:rPr>
                <w:rStyle w:val="13"/>
                <w:lang w:val="en-US" w:eastAsia="zh-CN" w:bidi="ar"/>
              </w:rPr>
              <w:t>结转</w:t>
            </w:r>
          </w:p>
          <w:p w14:paraId="2E6A3B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结余</w:t>
            </w:r>
          </w:p>
        </w:tc>
        <w:tc>
          <w:tcPr>
            <w:tcW w:w="495" w:type="dxa"/>
            <w:tcBorders>
              <w:tl2br w:val="nil"/>
              <w:tr2bl w:val="nil"/>
            </w:tcBorders>
            <w:noWrap w:val="0"/>
            <w:vAlign w:val="center"/>
          </w:tcPr>
          <w:p w14:paraId="00322F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2383B7C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14:paraId="5F419D5E">
            <w:pPr>
              <w:keepNext w:val="0"/>
              <w:keepLines w:val="0"/>
              <w:widowControl/>
              <w:suppressLineNumbers w:val="0"/>
              <w:spacing w:after="180" w:afterAutospacing="0"/>
              <w:jc w:val="left"/>
              <w:textAlignment w:val="center"/>
              <w:rPr>
                <w:rStyle w:val="13"/>
                <w:lang w:val="en-US" w:eastAsia="zh-CN" w:bidi="ar"/>
              </w:rPr>
            </w:pPr>
          </w:p>
          <w:p w14:paraId="2972E95C">
            <w:pPr>
              <w:keepNext w:val="0"/>
              <w:keepLines w:val="0"/>
              <w:widowControl/>
              <w:suppressLineNumbers w:val="0"/>
              <w:spacing w:after="180" w:afterAutospacing="0"/>
              <w:jc w:val="left"/>
              <w:textAlignment w:val="center"/>
              <w:rPr>
                <w:rStyle w:val="13"/>
                <w:lang w:val="en-US" w:eastAsia="zh-CN" w:bidi="ar"/>
              </w:rPr>
            </w:pPr>
            <w:r>
              <w:rPr>
                <w:rStyle w:val="13"/>
                <w:lang w:val="en-US" w:eastAsia="zh-CN" w:bidi="ar"/>
              </w:rPr>
              <w:t>结转结余率</w:t>
            </w:r>
            <w:r>
              <w:rPr>
                <w:rStyle w:val="14"/>
                <w:rFonts w:eastAsia="宋体"/>
                <w:lang w:val="en-US" w:eastAsia="zh-CN" w:bidi="ar"/>
              </w:rPr>
              <w:t>=</w:t>
            </w:r>
            <w:r>
              <w:rPr>
                <w:rStyle w:val="13"/>
                <w:lang w:val="en-US" w:eastAsia="zh-CN" w:bidi="ar"/>
              </w:rPr>
              <w:t>结转结余总额</w:t>
            </w:r>
            <w:r>
              <w:rPr>
                <w:rStyle w:val="14"/>
                <w:rFonts w:eastAsia="宋体"/>
                <w:lang w:val="en-US" w:eastAsia="zh-CN" w:bidi="ar"/>
              </w:rPr>
              <w:t>/</w:t>
            </w:r>
            <w:r>
              <w:rPr>
                <w:rStyle w:val="13"/>
                <w:lang w:val="en-US" w:eastAsia="zh-CN" w:bidi="ar"/>
              </w:rPr>
              <w:t>支出预算数</w:t>
            </w:r>
            <w:r>
              <w:rPr>
                <w:rStyle w:val="14"/>
                <w:rFonts w:eastAsia="宋体"/>
                <w:lang w:val="en-US" w:eastAsia="zh-CN" w:bidi="ar"/>
              </w:rPr>
              <w:t>×100%</w:t>
            </w:r>
            <w:r>
              <w:rPr>
                <w:rStyle w:val="13"/>
                <w:lang w:val="en-US" w:eastAsia="zh-CN" w:bidi="ar"/>
              </w:rPr>
              <w:t>。结转结余总额：部门本年度的结转资金与结余资金之和（以决算数为准）。</w:t>
            </w:r>
          </w:p>
          <w:p w14:paraId="586E50B3">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该项得分，结余率</w:t>
            </w:r>
            <w:r>
              <w:rPr>
                <w:rStyle w:val="14"/>
                <w:rFonts w:eastAsia="宋体"/>
                <w:lang w:val="en-US" w:eastAsia="zh-CN" w:bidi="ar"/>
              </w:rPr>
              <w:t>≤10%</w:t>
            </w:r>
            <w:r>
              <w:rPr>
                <w:rStyle w:val="13"/>
                <w:lang w:val="en-US" w:eastAsia="zh-CN" w:bidi="ar"/>
              </w:rPr>
              <w:t>的，计</w:t>
            </w:r>
            <w:r>
              <w:rPr>
                <w:rStyle w:val="14"/>
                <w:rFonts w:eastAsia="宋体"/>
                <w:lang w:val="en-US" w:eastAsia="zh-CN" w:bidi="ar"/>
              </w:rPr>
              <w:t>1</w:t>
            </w:r>
            <w:r>
              <w:rPr>
                <w:rStyle w:val="13"/>
                <w:lang w:val="en-US" w:eastAsia="zh-CN" w:bidi="ar"/>
              </w:rPr>
              <w:t>分；结余率</w:t>
            </w:r>
            <w:r>
              <w:rPr>
                <w:rStyle w:val="14"/>
                <w:rFonts w:eastAsia="宋体"/>
                <w:lang w:val="en-US" w:eastAsia="zh-CN" w:bidi="ar"/>
              </w:rPr>
              <w:t>&gt;10%</w:t>
            </w:r>
            <w:r>
              <w:rPr>
                <w:rStyle w:val="13"/>
                <w:lang w:val="en-US" w:eastAsia="zh-CN" w:bidi="ar"/>
              </w:rPr>
              <w:t>（不含），</w:t>
            </w:r>
            <w:r>
              <w:rPr>
                <w:rStyle w:val="14"/>
                <w:rFonts w:eastAsia="宋体"/>
                <w:lang w:val="en-US" w:eastAsia="zh-CN" w:bidi="ar"/>
              </w:rPr>
              <w:t>0.5</w:t>
            </w:r>
            <w:r>
              <w:rPr>
                <w:rStyle w:val="13"/>
                <w:lang w:val="en-US" w:eastAsia="zh-CN" w:bidi="ar"/>
              </w:rPr>
              <w:t>分；本年超支的，计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66CC4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03F4DA4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249FE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14:paraId="2182672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371BB9F">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72C45F6">
            <w:pPr>
              <w:keepNext w:val="0"/>
              <w:keepLines w:val="0"/>
              <w:widowControl/>
              <w:suppressLineNumbers w:val="0"/>
              <w:jc w:val="center"/>
              <w:textAlignment w:val="center"/>
              <w:rPr>
                <w:rStyle w:val="13"/>
                <w:lang w:val="en-US" w:eastAsia="zh-CN" w:bidi="ar"/>
              </w:rPr>
            </w:pPr>
            <w:r>
              <w:rPr>
                <w:rStyle w:val="13"/>
                <w:lang w:val="en-US" w:eastAsia="zh-CN" w:bidi="ar"/>
              </w:rPr>
              <w:t>公用经费</w:t>
            </w:r>
          </w:p>
          <w:p w14:paraId="41CA0A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控制率</w:t>
            </w:r>
          </w:p>
        </w:tc>
        <w:tc>
          <w:tcPr>
            <w:tcW w:w="495" w:type="dxa"/>
            <w:tcBorders>
              <w:tl2br w:val="nil"/>
              <w:tr2bl w:val="nil"/>
            </w:tcBorders>
            <w:noWrap w:val="0"/>
            <w:vAlign w:val="center"/>
          </w:tcPr>
          <w:p w14:paraId="383197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4EA23E3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14:paraId="1998AFF2">
            <w:pPr>
              <w:keepNext w:val="0"/>
              <w:keepLines w:val="0"/>
              <w:widowControl/>
              <w:suppressLineNumbers w:val="0"/>
              <w:jc w:val="left"/>
              <w:textAlignment w:val="center"/>
              <w:rPr>
                <w:rStyle w:val="13"/>
                <w:lang w:val="en-US" w:eastAsia="zh-CN" w:bidi="ar"/>
              </w:rPr>
            </w:pPr>
            <w:r>
              <w:rPr>
                <w:rStyle w:val="13"/>
                <w:lang w:val="en-US" w:eastAsia="zh-CN" w:bidi="ar"/>
              </w:rPr>
              <w:t>公用经费控制率</w:t>
            </w:r>
            <w:r>
              <w:rPr>
                <w:rStyle w:val="14"/>
                <w:rFonts w:eastAsia="宋体"/>
                <w:lang w:val="en-US" w:eastAsia="zh-CN" w:bidi="ar"/>
              </w:rPr>
              <w:t>=</w:t>
            </w:r>
            <w:r>
              <w:rPr>
                <w:rStyle w:val="13"/>
                <w:lang w:val="en-US" w:eastAsia="zh-CN" w:bidi="ar"/>
              </w:rPr>
              <w:t>（实际支出公用经费总额</w:t>
            </w:r>
            <w:r>
              <w:rPr>
                <w:rStyle w:val="14"/>
                <w:rFonts w:eastAsia="宋体"/>
                <w:lang w:val="en-US" w:eastAsia="zh-CN" w:bidi="ar"/>
              </w:rPr>
              <w:t>/</w:t>
            </w:r>
            <w:r>
              <w:rPr>
                <w:rStyle w:val="13"/>
                <w:lang w:val="en-US" w:eastAsia="zh-CN" w:bidi="ar"/>
              </w:rPr>
              <w:t>预算安排公用经费总额）</w:t>
            </w:r>
            <w:r>
              <w:rPr>
                <w:rStyle w:val="14"/>
                <w:rFonts w:eastAsia="宋体"/>
                <w:lang w:val="en-US" w:eastAsia="zh-CN" w:bidi="ar"/>
              </w:rPr>
              <w:t>×100%</w:t>
            </w:r>
            <w:r>
              <w:rPr>
                <w:rStyle w:val="13"/>
                <w:lang w:val="en-US" w:eastAsia="zh-CN" w:bidi="ar"/>
              </w:rPr>
              <w:t>。</w:t>
            </w:r>
          </w:p>
          <w:p w14:paraId="0536B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1316EC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24A7C5C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2504F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14:paraId="32A73D9D">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282E0F1">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2BA62BC">
            <w:pPr>
              <w:keepNext w:val="0"/>
              <w:keepLines w:val="0"/>
              <w:widowControl/>
              <w:suppressLineNumbers w:val="0"/>
              <w:jc w:val="center"/>
              <w:textAlignment w:val="center"/>
              <w:rPr>
                <w:rStyle w:val="14"/>
                <w:rFonts w:eastAsia="宋体"/>
                <w:lang w:val="en-US" w:eastAsia="zh-CN" w:bidi="ar"/>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p>
          <w:p w14:paraId="745DE4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控制率</w:t>
            </w:r>
          </w:p>
        </w:tc>
        <w:tc>
          <w:tcPr>
            <w:tcW w:w="495" w:type="dxa"/>
            <w:tcBorders>
              <w:tl2br w:val="nil"/>
              <w:tr2bl w:val="nil"/>
            </w:tcBorders>
            <w:noWrap w:val="0"/>
            <w:vAlign w:val="center"/>
          </w:tcPr>
          <w:p w14:paraId="33F7B2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70E8C16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实际支出数与预算安排数的比率，用以反映和考核部门（单位）对</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的实际控制程度。</w:t>
            </w:r>
          </w:p>
        </w:tc>
        <w:tc>
          <w:tcPr>
            <w:tcW w:w="5112" w:type="dxa"/>
            <w:tcBorders>
              <w:tl2br w:val="nil"/>
              <w:tr2bl w:val="nil"/>
            </w:tcBorders>
            <w:noWrap w:val="0"/>
            <w:vAlign w:val="center"/>
          </w:tcPr>
          <w:p w14:paraId="248C09D8">
            <w:pPr>
              <w:keepNext w:val="0"/>
              <w:keepLines w:val="0"/>
              <w:widowControl/>
              <w:suppressLineNumbers w:val="0"/>
              <w:jc w:val="left"/>
              <w:textAlignment w:val="center"/>
              <w:rPr>
                <w:rStyle w:val="13"/>
                <w:lang w:val="en-US" w:eastAsia="zh-CN" w:bidi="ar"/>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控制率</w:t>
            </w:r>
            <w:r>
              <w:rPr>
                <w:rStyle w:val="14"/>
                <w:rFonts w:eastAsia="宋体"/>
                <w:lang w:val="en-US" w:eastAsia="zh-CN" w:bidi="ar"/>
              </w:rPr>
              <w:t>=</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预算安排数）</w:t>
            </w:r>
            <w:r>
              <w:rPr>
                <w:rStyle w:val="14"/>
                <w:rFonts w:eastAsia="宋体"/>
                <w:lang w:val="en-US" w:eastAsia="zh-CN" w:bidi="ar"/>
              </w:rPr>
              <w:t>×100%</w:t>
            </w:r>
            <w:r>
              <w:rPr>
                <w:rStyle w:val="13"/>
                <w:lang w:val="en-US" w:eastAsia="zh-CN" w:bidi="ar"/>
              </w:rPr>
              <w:t>。</w:t>
            </w:r>
          </w:p>
          <w:p w14:paraId="39B82F8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5ACDF0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5799CEA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1F85F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14:paraId="6696054A">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6E62730">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4F6242C">
            <w:pPr>
              <w:keepNext w:val="0"/>
              <w:keepLines w:val="0"/>
              <w:widowControl/>
              <w:suppressLineNumbers w:val="0"/>
              <w:jc w:val="center"/>
              <w:textAlignment w:val="center"/>
              <w:rPr>
                <w:rStyle w:val="13"/>
                <w:lang w:val="en-US" w:eastAsia="zh-CN" w:bidi="ar"/>
              </w:rPr>
            </w:pPr>
            <w:r>
              <w:rPr>
                <w:rStyle w:val="13"/>
                <w:lang w:val="en-US" w:eastAsia="zh-CN" w:bidi="ar"/>
              </w:rPr>
              <w:t>政府采购</w:t>
            </w:r>
          </w:p>
          <w:p w14:paraId="67062540">
            <w:pPr>
              <w:keepNext w:val="0"/>
              <w:keepLines w:val="0"/>
              <w:widowControl/>
              <w:suppressLineNumbers w:val="0"/>
              <w:jc w:val="center"/>
              <w:textAlignment w:val="center"/>
              <w:rPr>
                <w:rStyle w:val="13"/>
                <w:lang w:val="en-US" w:eastAsia="zh-CN" w:bidi="ar"/>
              </w:rPr>
            </w:pPr>
            <w:r>
              <w:rPr>
                <w:rStyle w:val="13"/>
                <w:lang w:val="en-US" w:eastAsia="zh-CN" w:bidi="ar"/>
              </w:rPr>
              <w:t>执行率和</w:t>
            </w:r>
          </w:p>
          <w:p w14:paraId="5293A2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规范性</w:t>
            </w:r>
          </w:p>
        </w:tc>
        <w:tc>
          <w:tcPr>
            <w:tcW w:w="495" w:type="dxa"/>
            <w:tcBorders>
              <w:tl2br w:val="nil"/>
              <w:tr2bl w:val="nil"/>
            </w:tcBorders>
            <w:noWrap w:val="0"/>
            <w:vAlign w:val="center"/>
          </w:tcPr>
          <w:p w14:paraId="4A69D7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42A0A1D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14:paraId="1DF89B39">
            <w:pPr>
              <w:keepNext w:val="0"/>
              <w:keepLines w:val="0"/>
              <w:widowControl/>
              <w:suppressLineNumbers w:val="0"/>
              <w:jc w:val="left"/>
              <w:textAlignment w:val="center"/>
              <w:rPr>
                <w:rStyle w:val="13"/>
                <w:lang w:val="en-US" w:eastAsia="zh-CN" w:bidi="ar"/>
              </w:rPr>
            </w:pPr>
          </w:p>
          <w:p w14:paraId="68E1115A">
            <w:pPr>
              <w:keepNext w:val="0"/>
              <w:keepLines w:val="0"/>
              <w:widowControl/>
              <w:suppressLineNumbers w:val="0"/>
              <w:jc w:val="left"/>
              <w:textAlignment w:val="center"/>
              <w:rPr>
                <w:rStyle w:val="13"/>
                <w:lang w:val="en-US" w:eastAsia="zh-CN" w:bidi="ar"/>
              </w:rPr>
            </w:pPr>
            <w:r>
              <w:rPr>
                <w:rStyle w:val="13"/>
                <w:lang w:val="en-US" w:eastAsia="zh-CN" w:bidi="ar"/>
              </w:rPr>
              <w:t>①政府采购预算执行率</w:t>
            </w:r>
            <w:r>
              <w:rPr>
                <w:rStyle w:val="14"/>
                <w:rFonts w:eastAsia="宋体"/>
                <w:lang w:val="en-US" w:eastAsia="zh-CN" w:bidi="ar"/>
              </w:rPr>
              <w:t>=</w:t>
            </w:r>
            <w:r>
              <w:rPr>
                <w:rStyle w:val="13"/>
                <w:lang w:val="en-US" w:eastAsia="zh-CN" w:bidi="ar"/>
              </w:rPr>
              <w:t>（实际政府采购金额</w:t>
            </w:r>
            <w:r>
              <w:rPr>
                <w:rStyle w:val="14"/>
                <w:rFonts w:eastAsia="宋体"/>
                <w:lang w:val="en-US" w:eastAsia="zh-CN" w:bidi="ar"/>
              </w:rPr>
              <w:t>/</w:t>
            </w:r>
            <w:r>
              <w:rPr>
                <w:rStyle w:val="13"/>
                <w:lang w:val="en-US" w:eastAsia="zh-CN" w:bidi="ar"/>
              </w:rPr>
              <w:t>政府采购预算数）</w:t>
            </w:r>
            <w:r>
              <w:rPr>
                <w:rStyle w:val="14"/>
                <w:rFonts w:eastAsia="宋体"/>
                <w:lang w:val="en-US" w:eastAsia="zh-CN" w:bidi="ar"/>
              </w:rPr>
              <w:t>×100%</w:t>
            </w:r>
            <w:r>
              <w:rPr>
                <w:rStyle w:val="13"/>
                <w:lang w:val="en-US" w:eastAsia="zh-CN" w:bidi="ar"/>
              </w:rPr>
              <w:t>；</w:t>
            </w:r>
          </w:p>
          <w:p w14:paraId="5EAC43C7">
            <w:pPr>
              <w:keepNext w:val="0"/>
              <w:keepLines w:val="0"/>
              <w:widowControl/>
              <w:suppressLineNumbers w:val="0"/>
              <w:jc w:val="left"/>
              <w:textAlignment w:val="center"/>
              <w:rPr>
                <w:rStyle w:val="13"/>
                <w:lang w:val="en-US" w:eastAsia="zh-CN" w:bidi="ar"/>
              </w:rPr>
            </w:pPr>
            <w:r>
              <w:rPr>
                <w:rStyle w:val="13"/>
                <w:lang w:val="en-US" w:eastAsia="zh-CN" w:bidi="ar"/>
              </w:rPr>
              <w:t>政府采购预算：采购机关根据事业发展计划和行政任务编制的、并经过规定程序批准的年度政府采购计划。</w:t>
            </w:r>
          </w:p>
          <w:p w14:paraId="5D883B52">
            <w:pPr>
              <w:keepNext w:val="0"/>
              <w:keepLines w:val="0"/>
              <w:widowControl/>
              <w:suppressLineNumbers w:val="0"/>
              <w:jc w:val="left"/>
              <w:textAlignment w:val="center"/>
              <w:rPr>
                <w:rStyle w:val="13"/>
                <w:lang w:val="en-US" w:eastAsia="zh-CN" w:bidi="ar"/>
              </w:rPr>
            </w:pPr>
            <w:r>
              <w:rPr>
                <w:rStyle w:val="13"/>
                <w:lang w:val="en-US" w:eastAsia="zh-CN" w:bidi="ar"/>
              </w:rPr>
              <w:t>该项得分，完成本年度采购计划的，政府采购执行率≤</w:t>
            </w:r>
            <w:r>
              <w:rPr>
                <w:rStyle w:val="14"/>
                <w:rFonts w:eastAsia="宋体"/>
                <w:lang w:val="en-US" w:eastAsia="zh-CN" w:bidi="ar"/>
              </w:rPr>
              <w:t>100%</w:t>
            </w:r>
            <w:r>
              <w:rPr>
                <w:rStyle w:val="13"/>
                <w:lang w:val="en-US" w:eastAsia="zh-CN" w:bidi="ar"/>
              </w:rPr>
              <w:t>，计</w:t>
            </w:r>
            <w:r>
              <w:rPr>
                <w:rStyle w:val="14"/>
                <w:rFonts w:eastAsia="宋体"/>
                <w:lang w:val="en-US" w:eastAsia="zh-CN" w:bidi="ar"/>
              </w:rPr>
              <w:t>1</w:t>
            </w:r>
            <w:r>
              <w:rPr>
                <w:rStyle w:val="13"/>
                <w:lang w:val="en-US" w:eastAsia="zh-CN" w:bidi="ar"/>
              </w:rPr>
              <w:t>分，每超过</w:t>
            </w:r>
            <w:r>
              <w:rPr>
                <w:rStyle w:val="14"/>
                <w:rFonts w:eastAsia="宋体"/>
                <w:lang w:val="en-US" w:eastAsia="zh-CN" w:bidi="ar"/>
              </w:rPr>
              <w:t>1%</w:t>
            </w:r>
            <w:r>
              <w:rPr>
                <w:rStyle w:val="13"/>
                <w:lang w:val="en-US" w:eastAsia="zh-CN" w:bidi="ar"/>
              </w:rPr>
              <w:t>扣</w:t>
            </w:r>
            <w:r>
              <w:rPr>
                <w:rStyle w:val="14"/>
                <w:rFonts w:eastAsia="宋体"/>
                <w:lang w:val="en-US" w:eastAsia="zh-CN" w:bidi="ar"/>
              </w:rPr>
              <w:t>0.1</w:t>
            </w:r>
            <w:r>
              <w:rPr>
                <w:rStyle w:val="13"/>
                <w:lang w:val="en-US" w:eastAsia="zh-CN" w:bidi="ar"/>
              </w:rPr>
              <w:t>分，扣完为止；</w:t>
            </w:r>
          </w:p>
          <w:p w14:paraId="30FA9848">
            <w:pPr>
              <w:keepNext w:val="0"/>
              <w:keepLines w:val="0"/>
              <w:widowControl/>
              <w:suppressLineNumbers w:val="0"/>
              <w:jc w:val="left"/>
              <w:textAlignment w:val="center"/>
              <w:rPr>
                <w:rStyle w:val="13"/>
                <w:lang w:val="en-US" w:eastAsia="zh-CN" w:bidi="ar"/>
              </w:rPr>
            </w:pPr>
            <w:r>
              <w:rPr>
                <w:rStyle w:val="13"/>
                <w:lang w:val="en-US" w:eastAsia="zh-CN" w:bidi="ar"/>
              </w:rPr>
              <w:t>②所有项目依法采购，无规避政府采购或化整为零进行政府采购的行为，并履行验收手续，计0.5分，否则不得分；</w:t>
            </w:r>
          </w:p>
          <w:p w14:paraId="65BC0F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③预算单位建立了政府采购内控制度，计0.5分，否则不得分。</w:t>
            </w:r>
          </w:p>
        </w:tc>
        <w:tc>
          <w:tcPr>
            <w:tcW w:w="2115" w:type="dxa"/>
            <w:tcBorders>
              <w:tl2br w:val="nil"/>
              <w:tr2bl w:val="nil"/>
            </w:tcBorders>
            <w:noWrap w:val="0"/>
            <w:vAlign w:val="center"/>
          </w:tcPr>
          <w:p w14:paraId="6010F5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财政部门批复的本年度部门（单位）预算；本年度部门（单位）决算报表；《政府采购法》。</w:t>
            </w:r>
          </w:p>
        </w:tc>
        <w:tc>
          <w:tcPr>
            <w:tcW w:w="586" w:type="dxa"/>
            <w:tcBorders>
              <w:tl2br w:val="nil"/>
              <w:tr2bl w:val="nil"/>
            </w:tcBorders>
            <w:noWrap w:val="0"/>
            <w:vAlign w:val="center"/>
          </w:tcPr>
          <w:p w14:paraId="54F0ED4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6B1BA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43722299">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56C204FD">
            <w:pPr>
              <w:keepNext w:val="0"/>
              <w:keepLines w:val="0"/>
              <w:widowControl/>
              <w:suppressLineNumbers w:val="0"/>
              <w:jc w:val="center"/>
              <w:textAlignment w:val="center"/>
              <w:rPr>
                <w:rStyle w:val="13"/>
                <w:lang w:val="en-US" w:eastAsia="zh-CN" w:bidi="ar"/>
              </w:rPr>
            </w:pPr>
            <w:r>
              <w:rPr>
                <w:rStyle w:val="13"/>
                <w:lang w:val="en-US" w:eastAsia="zh-CN" w:bidi="ar"/>
              </w:rPr>
              <w:t>预算</w:t>
            </w:r>
          </w:p>
          <w:p w14:paraId="5A382F76">
            <w:pPr>
              <w:keepNext w:val="0"/>
              <w:keepLines w:val="0"/>
              <w:widowControl/>
              <w:suppressLineNumbers w:val="0"/>
              <w:jc w:val="center"/>
              <w:textAlignment w:val="center"/>
              <w:rPr>
                <w:rStyle w:val="13"/>
                <w:lang w:val="en-US" w:eastAsia="zh-CN" w:bidi="ar"/>
              </w:rPr>
            </w:pPr>
            <w:r>
              <w:rPr>
                <w:rStyle w:val="13"/>
                <w:lang w:val="en-US" w:eastAsia="zh-CN" w:bidi="ar"/>
              </w:rPr>
              <w:t>管理</w:t>
            </w:r>
          </w:p>
          <w:p w14:paraId="3CAB9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w:t>
            </w:r>
            <w:r>
              <w:rPr>
                <w:rStyle w:val="14"/>
                <w:rFonts w:eastAsia="宋体"/>
                <w:lang w:val="en-US" w:eastAsia="zh-CN" w:bidi="ar"/>
              </w:rPr>
              <w:t>29</w:t>
            </w:r>
            <w:r>
              <w:rPr>
                <w:rStyle w:val="13"/>
                <w:lang w:val="en-US" w:eastAsia="zh-CN" w:bidi="ar"/>
              </w:rPr>
              <w:t>分）</w:t>
            </w:r>
          </w:p>
        </w:tc>
        <w:tc>
          <w:tcPr>
            <w:tcW w:w="1050" w:type="dxa"/>
            <w:tcBorders>
              <w:tl2br w:val="nil"/>
              <w:tr2bl w:val="nil"/>
            </w:tcBorders>
            <w:noWrap w:val="0"/>
            <w:vAlign w:val="center"/>
          </w:tcPr>
          <w:p w14:paraId="5E1A0FC2">
            <w:pPr>
              <w:keepNext w:val="0"/>
              <w:keepLines w:val="0"/>
              <w:widowControl/>
              <w:suppressLineNumbers w:val="0"/>
              <w:jc w:val="center"/>
              <w:textAlignment w:val="center"/>
              <w:rPr>
                <w:rStyle w:val="13"/>
                <w:lang w:val="en-US" w:eastAsia="zh-CN" w:bidi="ar"/>
              </w:rPr>
            </w:pPr>
            <w:r>
              <w:rPr>
                <w:rStyle w:val="13"/>
                <w:lang w:val="en-US" w:eastAsia="zh-CN" w:bidi="ar"/>
              </w:rPr>
              <w:t>管理制度</w:t>
            </w:r>
          </w:p>
          <w:p w14:paraId="106B91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健全性</w:t>
            </w:r>
          </w:p>
        </w:tc>
        <w:tc>
          <w:tcPr>
            <w:tcW w:w="495" w:type="dxa"/>
            <w:tcBorders>
              <w:tl2br w:val="nil"/>
              <w:tr2bl w:val="nil"/>
            </w:tcBorders>
            <w:noWrap w:val="0"/>
            <w:vAlign w:val="center"/>
          </w:tcPr>
          <w:p w14:paraId="1C387F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30B37BA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14:paraId="2491F77A">
            <w:pPr>
              <w:keepNext w:val="0"/>
              <w:keepLines w:val="0"/>
              <w:widowControl/>
              <w:suppressLineNumbers w:val="0"/>
              <w:jc w:val="left"/>
              <w:textAlignment w:val="center"/>
              <w:rPr>
                <w:rStyle w:val="13"/>
                <w:lang w:val="en-US" w:eastAsia="zh-CN" w:bidi="ar"/>
              </w:rPr>
            </w:pPr>
          </w:p>
          <w:p w14:paraId="254DAE3B">
            <w:pPr>
              <w:keepNext w:val="0"/>
              <w:keepLines w:val="0"/>
              <w:widowControl/>
              <w:suppressLineNumbers w:val="0"/>
              <w:jc w:val="left"/>
              <w:textAlignment w:val="center"/>
              <w:rPr>
                <w:rStyle w:val="13"/>
                <w:lang w:val="en-US" w:eastAsia="zh-CN" w:bidi="ar"/>
              </w:rPr>
            </w:pPr>
            <w:r>
              <w:rPr>
                <w:rStyle w:val="13"/>
                <w:lang w:val="en-US" w:eastAsia="zh-CN" w:bidi="ar"/>
              </w:rPr>
              <w:t>①是否已制定或具有预算资金管理办法、内部财务管理制度、会计核算制度等管理制度；</w:t>
            </w:r>
          </w:p>
          <w:p w14:paraId="5127C137">
            <w:pPr>
              <w:keepNext w:val="0"/>
              <w:keepLines w:val="0"/>
              <w:widowControl/>
              <w:suppressLineNumbers w:val="0"/>
              <w:jc w:val="left"/>
              <w:textAlignment w:val="center"/>
              <w:rPr>
                <w:rStyle w:val="13"/>
                <w:lang w:val="en-US" w:eastAsia="zh-CN" w:bidi="ar"/>
              </w:rPr>
            </w:pPr>
            <w:r>
              <w:rPr>
                <w:rStyle w:val="13"/>
                <w:lang w:val="en-US" w:eastAsia="zh-CN" w:bidi="ar"/>
              </w:rPr>
              <w:t>②相关管理制度是否合法、合规、完整；</w:t>
            </w:r>
          </w:p>
          <w:p w14:paraId="5F19EC34">
            <w:pPr>
              <w:keepNext w:val="0"/>
              <w:keepLines w:val="0"/>
              <w:widowControl/>
              <w:suppressLineNumbers w:val="0"/>
              <w:jc w:val="left"/>
              <w:textAlignment w:val="center"/>
              <w:rPr>
                <w:rStyle w:val="13"/>
                <w:lang w:val="en-US" w:eastAsia="zh-CN" w:bidi="ar"/>
              </w:rPr>
            </w:pPr>
            <w:r>
              <w:rPr>
                <w:rStyle w:val="13"/>
                <w:lang w:val="en-US" w:eastAsia="zh-CN" w:bidi="ar"/>
              </w:rPr>
              <w:t>③相关管理制度是否得到有效执行。</w:t>
            </w:r>
          </w:p>
          <w:p w14:paraId="1672FCBE">
            <w:pPr>
              <w:keepNext w:val="0"/>
              <w:keepLines w:val="0"/>
              <w:widowControl/>
              <w:suppressLineNumbers w:val="0"/>
              <w:jc w:val="left"/>
              <w:textAlignment w:val="center"/>
              <w:rPr>
                <w:rStyle w:val="13"/>
                <w:lang w:val="en-US" w:eastAsia="zh-CN" w:bidi="ar"/>
              </w:rPr>
            </w:pPr>
            <w:r>
              <w:rPr>
                <w:rStyle w:val="13"/>
                <w:lang w:val="en-US" w:eastAsia="zh-CN" w:bidi="ar"/>
              </w:rPr>
              <w:t>④会计人员、机构是否按规定设置；</w:t>
            </w:r>
          </w:p>
          <w:p w14:paraId="35BD9FD6">
            <w:pPr>
              <w:keepNext w:val="0"/>
              <w:keepLines w:val="0"/>
              <w:widowControl/>
              <w:suppressLineNumbers w:val="0"/>
              <w:jc w:val="left"/>
              <w:textAlignment w:val="center"/>
              <w:rPr>
                <w:rStyle w:val="13"/>
                <w:lang w:val="en-US" w:eastAsia="zh-CN" w:bidi="ar"/>
              </w:rPr>
            </w:pPr>
            <w:r>
              <w:rPr>
                <w:rStyle w:val="13"/>
                <w:lang w:val="en-US" w:eastAsia="zh-CN" w:bidi="ar"/>
              </w:rPr>
              <w:t>⑤会计基础工作是否健全；</w:t>
            </w:r>
          </w:p>
          <w:p w14:paraId="78FC73B6">
            <w:pPr>
              <w:keepNext w:val="0"/>
              <w:keepLines w:val="0"/>
              <w:widowControl/>
              <w:suppressLineNumbers w:val="0"/>
              <w:jc w:val="left"/>
              <w:textAlignment w:val="center"/>
              <w:rPr>
                <w:rStyle w:val="13"/>
                <w:lang w:val="en-US" w:eastAsia="zh-CN" w:bidi="ar"/>
              </w:rPr>
            </w:pPr>
            <w:r>
              <w:rPr>
                <w:rStyle w:val="13"/>
                <w:lang w:val="en-US" w:eastAsia="zh-CN" w:bidi="ar"/>
              </w:rPr>
              <w:t>⑥会计档案是否符合规定要求；</w:t>
            </w:r>
          </w:p>
          <w:p w14:paraId="1C818FBA">
            <w:pPr>
              <w:keepNext w:val="0"/>
              <w:keepLines w:val="0"/>
              <w:widowControl/>
              <w:suppressLineNumbers w:val="0"/>
              <w:jc w:val="left"/>
              <w:textAlignment w:val="center"/>
              <w:rPr>
                <w:rStyle w:val="13"/>
                <w:lang w:val="en-US" w:eastAsia="zh-CN" w:bidi="ar"/>
              </w:rPr>
            </w:pPr>
            <w:r>
              <w:rPr>
                <w:rStyle w:val="13"/>
                <w:lang w:val="en-US" w:eastAsia="zh-CN" w:bidi="ar"/>
              </w:rPr>
              <w:t>⑦项目管理是否规范（包括项目立项、申报、招投标、合同或协议要素、制度建立、按时完工等）。</w:t>
            </w:r>
          </w:p>
          <w:p w14:paraId="49392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以上情况每发现一例不符合要求的扣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14:paraId="62B992F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部门（单位）管理制度。</w:t>
            </w:r>
          </w:p>
        </w:tc>
        <w:tc>
          <w:tcPr>
            <w:tcW w:w="586" w:type="dxa"/>
            <w:tcBorders>
              <w:tl2br w:val="nil"/>
              <w:tr2bl w:val="nil"/>
            </w:tcBorders>
            <w:noWrap w:val="0"/>
            <w:vAlign w:val="center"/>
          </w:tcPr>
          <w:p w14:paraId="3CA2594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1834E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14:paraId="32F3B64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B60761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97931D2">
            <w:pPr>
              <w:keepNext w:val="0"/>
              <w:keepLines w:val="0"/>
              <w:widowControl/>
              <w:suppressLineNumbers w:val="0"/>
              <w:jc w:val="center"/>
              <w:textAlignment w:val="center"/>
              <w:rPr>
                <w:rStyle w:val="13"/>
                <w:lang w:val="en-US" w:eastAsia="zh-CN" w:bidi="ar"/>
              </w:rPr>
            </w:pPr>
            <w:r>
              <w:rPr>
                <w:rStyle w:val="13"/>
                <w:lang w:val="en-US" w:eastAsia="zh-CN" w:bidi="ar"/>
              </w:rPr>
              <w:t>资金使用</w:t>
            </w:r>
          </w:p>
          <w:p w14:paraId="069D99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合规性</w:t>
            </w:r>
          </w:p>
        </w:tc>
        <w:tc>
          <w:tcPr>
            <w:tcW w:w="495" w:type="dxa"/>
            <w:tcBorders>
              <w:tl2br w:val="nil"/>
              <w:tr2bl w:val="nil"/>
            </w:tcBorders>
            <w:noWrap w:val="0"/>
            <w:vAlign w:val="center"/>
          </w:tcPr>
          <w:p w14:paraId="724AE5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14:paraId="786F595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14:paraId="2E77D3FF">
            <w:pPr>
              <w:keepNext w:val="0"/>
              <w:keepLines w:val="0"/>
              <w:widowControl/>
              <w:suppressLineNumbers w:val="0"/>
              <w:jc w:val="left"/>
              <w:textAlignment w:val="center"/>
              <w:rPr>
                <w:rStyle w:val="13"/>
                <w:lang w:val="en-US" w:eastAsia="zh-CN" w:bidi="ar"/>
              </w:rPr>
            </w:pPr>
          </w:p>
          <w:p w14:paraId="3E502709">
            <w:pPr>
              <w:keepNext w:val="0"/>
              <w:keepLines w:val="0"/>
              <w:widowControl/>
              <w:suppressLineNumbers w:val="0"/>
              <w:jc w:val="left"/>
              <w:textAlignment w:val="center"/>
              <w:rPr>
                <w:rStyle w:val="13"/>
                <w:lang w:val="en-US" w:eastAsia="zh-CN" w:bidi="ar"/>
              </w:rPr>
            </w:pPr>
            <w:r>
              <w:rPr>
                <w:rStyle w:val="13"/>
                <w:lang w:val="en-US" w:eastAsia="zh-CN" w:bidi="ar"/>
              </w:rPr>
              <w:t>①符合国家财经法规和财务管理制度以及有关专项资金管理办法的规定，计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14:paraId="516C53E5">
            <w:pPr>
              <w:keepNext w:val="0"/>
              <w:keepLines w:val="0"/>
              <w:widowControl/>
              <w:suppressLineNumbers w:val="0"/>
              <w:jc w:val="left"/>
              <w:textAlignment w:val="center"/>
              <w:rPr>
                <w:rStyle w:val="13"/>
                <w:lang w:val="en-US" w:eastAsia="zh-CN" w:bidi="ar"/>
              </w:rPr>
            </w:pPr>
            <w:r>
              <w:rPr>
                <w:rStyle w:val="13"/>
                <w:lang w:val="en-US" w:eastAsia="zh-CN" w:bidi="ar"/>
              </w:rPr>
              <w:t>②资金的支付有完整的审批程序和手续，计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14:paraId="1EE5BFC2">
            <w:pPr>
              <w:keepNext w:val="0"/>
              <w:keepLines w:val="0"/>
              <w:widowControl/>
              <w:suppressLineNumbers w:val="0"/>
              <w:jc w:val="left"/>
              <w:textAlignment w:val="center"/>
              <w:rPr>
                <w:rStyle w:val="13"/>
                <w:lang w:val="en-US" w:eastAsia="zh-CN" w:bidi="ar"/>
              </w:rPr>
            </w:pPr>
            <w:r>
              <w:rPr>
                <w:rStyle w:val="13"/>
                <w:lang w:val="en-US" w:eastAsia="zh-CN" w:bidi="ar"/>
              </w:rPr>
              <w:t>③重大项目开支和大额资金使用经过单位党组集体研究决策，计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14:paraId="1793AFF2">
            <w:pPr>
              <w:keepNext w:val="0"/>
              <w:keepLines w:val="0"/>
              <w:widowControl/>
              <w:suppressLineNumbers w:val="0"/>
              <w:jc w:val="left"/>
              <w:textAlignment w:val="center"/>
              <w:rPr>
                <w:rStyle w:val="13"/>
                <w:lang w:val="en-US" w:eastAsia="zh-CN" w:bidi="ar"/>
              </w:rPr>
            </w:pPr>
            <w:r>
              <w:rPr>
                <w:rStyle w:val="13"/>
                <w:lang w:val="en-US" w:eastAsia="zh-CN" w:bidi="ar"/>
              </w:rPr>
              <w:t>④符合项目预算批复或合同规定的用途，计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14:paraId="62EDA64F">
            <w:pPr>
              <w:keepNext w:val="0"/>
              <w:keepLines w:val="0"/>
              <w:widowControl/>
              <w:suppressLineNumbers w:val="0"/>
              <w:jc w:val="left"/>
              <w:textAlignment w:val="center"/>
              <w:rPr>
                <w:rStyle w:val="13"/>
                <w:lang w:val="en-US" w:eastAsia="zh-CN" w:bidi="ar"/>
              </w:rPr>
            </w:pPr>
            <w:r>
              <w:rPr>
                <w:rStyle w:val="13"/>
                <w:lang w:val="en-US" w:eastAsia="zh-CN" w:bidi="ar"/>
              </w:rPr>
              <w:t>⑤没有截留、挤占、挪用、虚列支出等情况，计</w:t>
            </w:r>
            <w:r>
              <w:rPr>
                <w:rStyle w:val="14"/>
                <w:rFonts w:eastAsia="宋体"/>
                <w:lang w:val="en-US" w:eastAsia="zh-CN" w:bidi="ar"/>
              </w:rPr>
              <w:t>1</w:t>
            </w:r>
            <w:r>
              <w:rPr>
                <w:rStyle w:val="13"/>
                <w:lang w:val="en-US" w:eastAsia="zh-CN" w:bidi="ar"/>
              </w:rPr>
              <w:t>分，发生</w:t>
            </w:r>
            <w:r>
              <w:rPr>
                <w:rStyle w:val="14"/>
                <w:rFonts w:eastAsia="宋体"/>
                <w:lang w:val="en-US" w:eastAsia="zh-CN" w:bidi="ar"/>
              </w:rPr>
              <w:t>1</w:t>
            </w:r>
            <w:r>
              <w:rPr>
                <w:rStyle w:val="13"/>
                <w:lang w:val="en-US" w:eastAsia="zh-CN" w:bidi="ar"/>
              </w:rPr>
              <w:t>例不符合本指标的现象</w:t>
            </w:r>
            <w:r>
              <w:rPr>
                <w:rStyle w:val="14"/>
                <w:rFonts w:eastAsia="宋体"/>
                <w:lang w:val="en-US" w:eastAsia="zh-CN" w:bidi="ar"/>
              </w:rPr>
              <w:t>7</w:t>
            </w:r>
            <w:r>
              <w:rPr>
                <w:rStyle w:val="13"/>
                <w:lang w:val="en-US" w:eastAsia="zh-CN" w:bidi="ar"/>
              </w:rPr>
              <w:t>分全扣；</w:t>
            </w:r>
          </w:p>
          <w:p w14:paraId="295E6FF8">
            <w:pPr>
              <w:keepNext w:val="0"/>
              <w:keepLines w:val="0"/>
              <w:widowControl/>
              <w:suppressLineNumbers w:val="0"/>
              <w:jc w:val="left"/>
              <w:textAlignment w:val="center"/>
              <w:rPr>
                <w:rStyle w:val="13"/>
                <w:lang w:val="en-US" w:eastAsia="zh-CN" w:bidi="ar"/>
              </w:rPr>
            </w:pPr>
            <w:r>
              <w:rPr>
                <w:rStyle w:val="13"/>
                <w:lang w:val="en-US" w:eastAsia="zh-CN" w:bidi="ar"/>
              </w:rPr>
              <w:t>⑥原始凭证的取得真实有效，计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14:paraId="5A396F31">
            <w:pPr>
              <w:keepNext w:val="0"/>
              <w:keepLines w:val="0"/>
              <w:widowControl/>
              <w:suppressLineNumbers w:val="0"/>
              <w:jc w:val="left"/>
              <w:textAlignment w:val="center"/>
              <w:rPr>
                <w:rStyle w:val="13"/>
                <w:lang w:val="en-US" w:eastAsia="zh-CN" w:bidi="ar"/>
              </w:rPr>
            </w:pPr>
            <w:r>
              <w:rPr>
                <w:rStyle w:val="13"/>
                <w:lang w:val="en-US" w:eastAsia="zh-CN" w:bidi="ar"/>
              </w:rPr>
              <w:t>⑦无超标准发放津补贴、奖金、无用公款支付应个人支付的款项，计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14:paraId="4CD4A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14:paraId="60C4FA7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14:paraId="3FBEF32C">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5</w:t>
            </w:r>
          </w:p>
        </w:tc>
      </w:tr>
      <w:tr w14:paraId="4A47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14:paraId="4878360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B798352">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B7B0AF4">
            <w:pPr>
              <w:keepNext w:val="0"/>
              <w:keepLines w:val="0"/>
              <w:widowControl/>
              <w:suppressLineNumbers w:val="0"/>
              <w:jc w:val="center"/>
              <w:textAlignment w:val="center"/>
              <w:rPr>
                <w:rStyle w:val="13"/>
                <w:lang w:val="en-US" w:eastAsia="zh-CN" w:bidi="ar"/>
              </w:rPr>
            </w:pPr>
            <w:r>
              <w:rPr>
                <w:rStyle w:val="13"/>
                <w:lang w:val="en-US" w:eastAsia="zh-CN" w:bidi="ar"/>
              </w:rPr>
              <w:t>信息</w:t>
            </w:r>
          </w:p>
          <w:p w14:paraId="386952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公开性</w:t>
            </w:r>
          </w:p>
        </w:tc>
        <w:tc>
          <w:tcPr>
            <w:tcW w:w="495" w:type="dxa"/>
            <w:tcBorders>
              <w:tl2br w:val="nil"/>
              <w:tr2bl w:val="nil"/>
            </w:tcBorders>
            <w:noWrap w:val="0"/>
            <w:vAlign w:val="center"/>
          </w:tcPr>
          <w:p w14:paraId="50CE34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38850D8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14:paraId="13183214">
            <w:pPr>
              <w:keepNext w:val="0"/>
              <w:keepLines w:val="0"/>
              <w:widowControl/>
              <w:suppressLineNumbers w:val="0"/>
              <w:jc w:val="left"/>
              <w:textAlignment w:val="center"/>
              <w:rPr>
                <w:rStyle w:val="13"/>
                <w:lang w:val="en-US" w:eastAsia="zh-CN" w:bidi="ar"/>
              </w:rPr>
            </w:pPr>
          </w:p>
          <w:p w14:paraId="73D7C394">
            <w:pPr>
              <w:keepNext w:val="0"/>
              <w:keepLines w:val="0"/>
              <w:widowControl/>
              <w:suppressLineNumbers w:val="0"/>
              <w:jc w:val="left"/>
              <w:textAlignment w:val="center"/>
              <w:rPr>
                <w:rStyle w:val="13"/>
                <w:lang w:val="en-US" w:eastAsia="zh-CN" w:bidi="ar"/>
              </w:rPr>
            </w:pPr>
            <w:r>
              <w:rPr>
                <w:rStyle w:val="13"/>
                <w:lang w:val="en-US" w:eastAsia="zh-CN" w:bidi="ar"/>
              </w:rPr>
              <w:t>①无涉密情况的预算单位按规定及时、准确、完整的公开预决算和绩效管理信息，计</w:t>
            </w:r>
            <w:r>
              <w:rPr>
                <w:rStyle w:val="14"/>
                <w:rFonts w:eastAsia="宋体"/>
                <w:lang w:val="en-US" w:eastAsia="zh-CN" w:bidi="ar"/>
              </w:rPr>
              <w:t>1</w:t>
            </w:r>
            <w:r>
              <w:rPr>
                <w:rStyle w:val="13"/>
                <w:lang w:val="en-US" w:eastAsia="zh-CN" w:bidi="ar"/>
              </w:rPr>
              <w:t>分，否则，酌情扣分；</w:t>
            </w:r>
          </w:p>
          <w:p w14:paraId="75621417">
            <w:pPr>
              <w:keepNext w:val="0"/>
              <w:keepLines w:val="0"/>
              <w:widowControl/>
              <w:suppressLineNumbers w:val="0"/>
              <w:jc w:val="left"/>
              <w:textAlignment w:val="center"/>
              <w:rPr>
                <w:rStyle w:val="13"/>
                <w:lang w:val="en-US" w:eastAsia="zh-CN" w:bidi="ar"/>
              </w:rPr>
            </w:pPr>
            <w:r>
              <w:rPr>
                <w:rStyle w:val="13"/>
                <w:lang w:val="en-US" w:eastAsia="zh-CN" w:bidi="ar"/>
              </w:rPr>
              <w:t>②基础数据信息和会计信息资料真实、准确、完整，计</w:t>
            </w:r>
            <w:r>
              <w:rPr>
                <w:rStyle w:val="14"/>
                <w:rFonts w:eastAsia="宋体"/>
                <w:lang w:val="en-US" w:eastAsia="zh-CN" w:bidi="ar"/>
              </w:rPr>
              <w:t>1</w:t>
            </w:r>
            <w:r>
              <w:rPr>
                <w:rStyle w:val="13"/>
                <w:lang w:val="en-US" w:eastAsia="zh-CN" w:bidi="ar"/>
              </w:rPr>
              <w:t>分，否则，酌情扣分。</w:t>
            </w:r>
          </w:p>
          <w:p w14:paraId="17DD0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14:paraId="28A8D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14:paraId="3EC95BB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6951C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14:paraId="6961300D">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C701371">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70D96F0">
            <w:pPr>
              <w:keepNext w:val="0"/>
              <w:keepLines w:val="0"/>
              <w:widowControl/>
              <w:suppressLineNumbers w:val="0"/>
              <w:jc w:val="center"/>
              <w:textAlignment w:val="center"/>
              <w:rPr>
                <w:rStyle w:val="14"/>
                <w:rFonts w:eastAsia="宋体"/>
                <w:lang w:val="en-US" w:eastAsia="zh-CN" w:bidi="ar"/>
              </w:rPr>
            </w:pPr>
            <w:r>
              <w:rPr>
                <w:rStyle w:val="13"/>
                <w:lang w:val="en-US" w:eastAsia="zh-CN" w:bidi="ar"/>
              </w:rPr>
              <w:t>非税收入</w:t>
            </w:r>
            <w:r>
              <w:rPr>
                <w:rStyle w:val="14"/>
                <w:rFonts w:eastAsia="宋体"/>
                <w:lang w:val="en-US" w:eastAsia="zh-CN" w:bidi="ar"/>
              </w:rPr>
              <w:t xml:space="preserve"> </w:t>
            </w:r>
          </w:p>
          <w:p w14:paraId="286B2B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管理</w:t>
            </w:r>
          </w:p>
        </w:tc>
        <w:tc>
          <w:tcPr>
            <w:tcW w:w="495" w:type="dxa"/>
            <w:tcBorders>
              <w:tl2br w:val="nil"/>
              <w:tr2bl w:val="nil"/>
            </w:tcBorders>
            <w:noWrap w:val="0"/>
            <w:vAlign w:val="center"/>
          </w:tcPr>
          <w:p w14:paraId="46413C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31A9352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反映部门非税收入的使用、管理情况。</w:t>
            </w:r>
          </w:p>
        </w:tc>
        <w:tc>
          <w:tcPr>
            <w:tcW w:w="5112" w:type="dxa"/>
            <w:tcBorders>
              <w:tl2br w:val="nil"/>
              <w:tr2bl w:val="nil"/>
            </w:tcBorders>
            <w:noWrap w:val="0"/>
            <w:vAlign w:val="center"/>
          </w:tcPr>
          <w:p w14:paraId="1779C2BF">
            <w:pPr>
              <w:keepNext w:val="0"/>
              <w:keepLines w:val="0"/>
              <w:widowControl/>
              <w:suppressLineNumbers w:val="0"/>
              <w:jc w:val="left"/>
              <w:textAlignment w:val="center"/>
              <w:rPr>
                <w:rStyle w:val="13"/>
                <w:lang w:val="en-US" w:eastAsia="zh-CN" w:bidi="ar"/>
              </w:rPr>
            </w:pPr>
          </w:p>
          <w:p w14:paraId="62F7937F">
            <w:pPr>
              <w:keepNext w:val="0"/>
              <w:keepLines w:val="0"/>
              <w:widowControl/>
              <w:suppressLineNumbers w:val="0"/>
              <w:jc w:val="left"/>
              <w:textAlignment w:val="center"/>
              <w:rPr>
                <w:rStyle w:val="13"/>
                <w:lang w:val="en-US" w:eastAsia="zh-CN" w:bidi="ar"/>
              </w:rPr>
            </w:pPr>
            <w:r>
              <w:rPr>
                <w:rStyle w:val="13"/>
                <w:lang w:val="en-US" w:eastAsia="zh-CN" w:bidi="ar"/>
              </w:rPr>
              <w:t>①实行收支两条线，计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p>
          <w:p w14:paraId="0CCBD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②未发生截留、坐支或转移，计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1C0F20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14:paraId="7A561E4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7A0D0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14:paraId="7EA0CBC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1AF251B">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CFD1556">
            <w:pPr>
              <w:keepNext w:val="0"/>
              <w:keepLines w:val="0"/>
              <w:widowControl/>
              <w:suppressLineNumbers w:val="0"/>
              <w:jc w:val="center"/>
              <w:textAlignment w:val="center"/>
              <w:rPr>
                <w:rStyle w:val="13"/>
                <w:lang w:val="en-US" w:eastAsia="zh-CN" w:bidi="ar"/>
              </w:rPr>
            </w:pPr>
            <w:r>
              <w:rPr>
                <w:rStyle w:val="13"/>
                <w:lang w:val="en-US" w:eastAsia="zh-CN" w:bidi="ar"/>
              </w:rPr>
              <w:t>绩效自评</w:t>
            </w:r>
          </w:p>
          <w:p w14:paraId="11007C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管理情况</w:t>
            </w:r>
          </w:p>
        </w:tc>
        <w:tc>
          <w:tcPr>
            <w:tcW w:w="495" w:type="dxa"/>
            <w:tcBorders>
              <w:tl2br w:val="nil"/>
              <w:tr2bl w:val="nil"/>
            </w:tcBorders>
            <w:noWrap w:val="0"/>
            <w:vAlign w:val="center"/>
          </w:tcPr>
          <w:p w14:paraId="3CCDE1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5CEE42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14:paraId="75EA85B7">
            <w:pPr>
              <w:keepNext w:val="0"/>
              <w:keepLines w:val="0"/>
              <w:widowControl/>
              <w:suppressLineNumbers w:val="0"/>
              <w:jc w:val="left"/>
              <w:textAlignment w:val="center"/>
              <w:rPr>
                <w:rStyle w:val="13"/>
                <w:lang w:val="en-US" w:eastAsia="zh-CN" w:bidi="ar"/>
              </w:rPr>
            </w:pPr>
          </w:p>
          <w:p w14:paraId="474052BE">
            <w:pPr>
              <w:keepNext w:val="0"/>
              <w:keepLines w:val="0"/>
              <w:widowControl/>
              <w:suppressLineNumbers w:val="0"/>
              <w:jc w:val="left"/>
              <w:textAlignment w:val="center"/>
              <w:rPr>
                <w:rStyle w:val="13"/>
                <w:lang w:val="en-US" w:eastAsia="zh-CN" w:bidi="ar"/>
              </w:rPr>
            </w:pPr>
            <w:r>
              <w:rPr>
                <w:rStyle w:val="13"/>
                <w:lang w:val="en-US" w:eastAsia="zh-CN" w:bidi="ar"/>
              </w:rPr>
              <w:t>①是否按要求开展部门（单位）整体支出绩效自评和专项资金支出自评工作。</w:t>
            </w:r>
          </w:p>
          <w:p w14:paraId="63BDC8C0">
            <w:pPr>
              <w:keepNext w:val="0"/>
              <w:keepLines w:val="0"/>
              <w:widowControl/>
              <w:suppressLineNumbers w:val="0"/>
              <w:jc w:val="left"/>
              <w:textAlignment w:val="center"/>
              <w:rPr>
                <w:rStyle w:val="13"/>
                <w:lang w:val="en-US" w:eastAsia="zh-CN" w:bidi="ar"/>
              </w:rPr>
            </w:pPr>
            <w:r>
              <w:rPr>
                <w:rStyle w:val="13"/>
                <w:lang w:val="en-US" w:eastAsia="zh-CN" w:bidi="ar"/>
              </w:rPr>
              <w:t>②是否及时报送绩效自评报告；</w:t>
            </w:r>
          </w:p>
          <w:p w14:paraId="04CFEFAC">
            <w:pPr>
              <w:keepNext w:val="0"/>
              <w:keepLines w:val="0"/>
              <w:widowControl/>
              <w:suppressLineNumbers w:val="0"/>
              <w:jc w:val="left"/>
              <w:textAlignment w:val="center"/>
              <w:rPr>
                <w:rStyle w:val="13"/>
                <w:lang w:val="en-US" w:eastAsia="zh-CN" w:bidi="ar"/>
              </w:rPr>
            </w:pPr>
            <w:r>
              <w:rPr>
                <w:rStyle w:val="13"/>
                <w:lang w:val="en-US" w:eastAsia="zh-CN" w:bidi="ar"/>
              </w:rPr>
              <w:t>③绩效自评报告是否完整，数据是否全面、真实、准确，绩效指标是否细化量化和科学合理；</w:t>
            </w:r>
          </w:p>
          <w:p w14:paraId="24DFF49D">
            <w:pPr>
              <w:keepNext w:val="0"/>
              <w:keepLines w:val="0"/>
              <w:widowControl/>
              <w:suppressLineNumbers w:val="0"/>
              <w:jc w:val="left"/>
              <w:textAlignment w:val="center"/>
              <w:rPr>
                <w:rStyle w:val="13"/>
                <w:lang w:val="en-US" w:eastAsia="zh-CN" w:bidi="ar"/>
              </w:rPr>
            </w:pPr>
            <w:r>
              <w:rPr>
                <w:rStyle w:val="13"/>
                <w:lang w:val="en-US" w:eastAsia="zh-CN" w:bidi="ar"/>
              </w:rPr>
              <w:t>④绩效自评反映的问题是否具体，意见是否可行，自评发现的问题是否整改；</w:t>
            </w:r>
          </w:p>
          <w:p w14:paraId="0A20917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该项得分，①、②、③、④各计</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14:paraId="1C01AAD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14:paraId="2659A78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14:paraId="50B56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14:paraId="22B5DCA5">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326AE3B">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4A7EE42">
            <w:pPr>
              <w:keepNext w:val="0"/>
              <w:keepLines w:val="0"/>
              <w:widowControl/>
              <w:suppressLineNumbers w:val="0"/>
              <w:jc w:val="center"/>
              <w:textAlignment w:val="center"/>
              <w:rPr>
                <w:rStyle w:val="13"/>
                <w:lang w:val="en-US" w:eastAsia="zh-CN" w:bidi="ar"/>
              </w:rPr>
            </w:pPr>
            <w:r>
              <w:rPr>
                <w:rStyle w:val="13"/>
                <w:lang w:val="en-US" w:eastAsia="zh-CN" w:bidi="ar"/>
              </w:rPr>
              <w:t>重点绩效</w:t>
            </w:r>
          </w:p>
          <w:p w14:paraId="21357EF1">
            <w:pPr>
              <w:keepNext w:val="0"/>
              <w:keepLines w:val="0"/>
              <w:widowControl/>
              <w:suppressLineNumbers w:val="0"/>
              <w:jc w:val="center"/>
              <w:textAlignment w:val="center"/>
              <w:rPr>
                <w:rStyle w:val="13"/>
                <w:lang w:val="en-US" w:eastAsia="zh-CN" w:bidi="ar"/>
              </w:rPr>
            </w:pPr>
            <w:r>
              <w:rPr>
                <w:rStyle w:val="13"/>
                <w:lang w:val="en-US" w:eastAsia="zh-CN" w:bidi="ar"/>
              </w:rPr>
              <w:t>评价整改</w:t>
            </w:r>
          </w:p>
          <w:p w14:paraId="4F2449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情况</w:t>
            </w:r>
          </w:p>
        </w:tc>
        <w:tc>
          <w:tcPr>
            <w:tcW w:w="495" w:type="dxa"/>
            <w:tcBorders>
              <w:tl2br w:val="nil"/>
              <w:tr2bl w:val="nil"/>
            </w:tcBorders>
            <w:noWrap w:val="0"/>
            <w:vAlign w:val="center"/>
          </w:tcPr>
          <w:p w14:paraId="14BB1E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4899B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14:paraId="0FA2BCDA">
            <w:pPr>
              <w:keepNext w:val="0"/>
              <w:keepLines w:val="0"/>
              <w:widowControl/>
              <w:suppressLineNumbers w:val="0"/>
              <w:jc w:val="left"/>
              <w:textAlignment w:val="center"/>
              <w:rPr>
                <w:rStyle w:val="13"/>
                <w:lang w:val="en-US" w:eastAsia="zh-CN" w:bidi="ar"/>
              </w:rPr>
            </w:pPr>
          </w:p>
          <w:p w14:paraId="31057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上轮重点评价问题全部整改，计3分；上轮重点评价问题部分整改，计</w:t>
            </w:r>
            <w:r>
              <w:rPr>
                <w:rStyle w:val="14"/>
                <w:rFonts w:eastAsia="宋体"/>
                <w:lang w:val="en-US" w:eastAsia="zh-CN" w:bidi="ar"/>
              </w:rPr>
              <w:t>1</w:t>
            </w:r>
            <w:r>
              <w:rPr>
                <w:rStyle w:val="13"/>
                <w:lang w:val="en-US" w:eastAsia="zh-CN" w:bidi="ar"/>
              </w:rPr>
              <w:t>分；上轮重点评价问题未整改且无整改情况说明的不计分。</w:t>
            </w:r>
          </w:p>
        </w:tc>
        <w:tc>
          <w:tcPr>
            <w:tcW w:w="2115" w:type="dxa"/>
            <w:tcBorders>
              <w:tl2br w:val="nil"/>
              <w:tr2bl w:val="nil"/>
            </w:tcBorders>
            <w:noWrap w:val="0"/>
            <w:vAlign w:val="center"/>
          </w:tcPr>
          <w:p w14:paraId="0B1E43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14:paraId="3192D523">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0D1C5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14:paraId="74C11A56">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42029E65">
            <w:pPr>
              <w:keepNext w:val="0"/>
              <w:keepLines w:val="0"/>
              <w:widowControl/>
              <w:suppressLineNumbers w:val="0"/>
              <w:jc w:val="center"/>
              <w:textAlignment w:val="center"/>
              <w:rPr>
                <w:rStyle w:val="13"/>
                <w:lang w:val="en-US" w:eastAsia="zh-CN" w:bidi="ar"/>
              </w:rPr>
            </w:pPr>
            <w:r>
              <w:rPr>
                <w:rStyle w:val="13"/>
                <w:lang w:val="en-US" w:eastAsia="zh-CN" w:bidi="ar"/>
              </w:rPr>
              <w:t>资产</w:t>
            </w:r>
          </w:p>
          <w:p w14:paraId="6B4E1CF1">
            <w:pPr>
              <w:keepNext w:val="0"/>
              <w:keepLines w:val="0"/>
              <w:widowControl/>
              <w:suppressLineNumbers w:val="0"/>
              <w:jc w:val="center"/>
              <w:textAlignment w:val="center"/>
              <w:rPr>
                <w:rStyle w:val="13"/>
                <w:lang w:val="en-US" w:eastAsia="zh-CN" w:bidi="ar"/>
              </w:rPr>
            </w:pPr>
            <w:r>
              <w:rPr>
                <w:rStyle w:val="13"/>
                <w:lang w:val="en-US" w:eastAsia="zh-CN" w:bidi="ar"/>
              </w:rPr>
              <w:t>管理</w:t>
            </w:r>
          </w:p>
          <w:p w14:paraId="05BC2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（5分）</w:t>
            </w:r>
          </w:p>
        </w:tc>
        <w:tc>
          <w:tcPr>
            <w:tcW w:w="1050" w:type="dxa"/>
            <w:tcBorders>
              <w:tl2br w:val="nil"/>
              <w:tr2bl w:val="nil"/>
            </w:tcBorders>
            <w:noWrap w:val="0"/>
            <w:vAlign w:val="center"/>
          </w:tcPr>
          <w:p w14:paraId="22327E08">
            <w:pPr>
              <w:keepNext w:val="0"/>
              <w:keepLines w:val="0"/>
              <w:widowControl/>
              <w:suppressLineNumbers w:val="0"/>
              <w:jc w:val="center"/>
              <w:textAlignment w:val="center"/>
              <w:rPr>
                <w:rStyle w:val="13"/>
                <w:lang w:val="en-US" w:eastAsia="zh-CN" w:bidi="ar"/>
              </w:rPr>
            </w:pPr>
            <w:r>
              <w:rPr>
                <w:rStyle w:val="13"/>
                <w:lang w:val="en-US" w:eastAsia="zh-CN" w:bidi="ar"/>
              </w:rPr>
              <w:t>资产管理</w:t>
            </w:r>
          </w:p>
          <w:p w14:paraId="58DADC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制度健全性</w:t>
            </w:r>
          </w:p>
        </w:tc>
        <w:tc>
          <w:tcPr>
            <w:tcW w:w="495" w:type="dxa"/>
            <w:tcBorders>
              <w:tl2br w:val="nil"/>
              <w:tr2bl w:val="nil"/>
            </w:tcBorders>
            <w:noWrap w:val="0"/>
            <w:vAlign w:val="center"/>
          </w:tcPr>
          <w:p w14:paraId="0D5B71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5507369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14:paraId="57513A31">
            <w:pPr>
              <w:keepNext w:val="0"/>
              <w:keepLines w:val="0"/>
              <w:widowControl/>
              <w:suppressLineNumbers w:val="0"/>
              <w:jc w:val="left"/>
              <w:textAlignment w:val="center"/>
              <w:rPr>
                <w:rStyle w:val="13"/>
                <w:lang w:val="en-US" w:eastAsia="zh-CN" w:bidi="ar"/>
              </w:rPr>
            </w:pPr>
            <w:r>
              <w:rPr>
                <w:rStyle w:val="13"/>
                <w:lang w:val="en-US" w:eastAsia="zh-CN" w:bidi="ar"/>
              </w:rPr>
              <w:t>①已制定合法、合规、完整的资产管理制度，计</w:t>
            </w:r>
            <w:r>
              <w:rPr>
                <w:rStyle w:val="14"/>
                <w:rFonts w:eastAsia="宋体"/>
                <w:lang w:val="en-US" w:eastAsia="zh-CN" w:bidi="ar"/>
              </w:rPr>
              <w:t>0.5</w:t>
            </w:r>
            <w:r>
              <w:rPr>
                <w:rStyle w:val="13"/>
                <w:lang w:val="en-US" w:eastAsia="zh-CN" w:bidi="ar"/>
              </w:rPr>
              <w:t>分，否则不得分；</w:t>
            </w:r>
          </w:p>
          <w:p w14:paraId="42D1EC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②相关资产管理制度得到有效执行，计</w:t>
            </w:r>
            <w:r>
              <w:rPr>
                <w:rStyle w:val="14"/>
                <w:rFonts w:eastAsia="宋体"/>
                <w:lang w:val="en-US" w:eastAsia="zh-CN" w:bidi="ar"/>
              </w:rPr>
              <w:t>0.5</w:t>
            </w:r>
            <w:r>
              <w:rPr>
                <w:rStyle w:val="13"/>
                <w:lang w:val="en-US" w:eastAsia="zh-CN" w:bidi="ar"/>
              </w:rPr>
              <w:t>分，否则不得分；</w:t>
            </w:r>
          </w:p>
        </w:tc>
        <w:tc>
          <w:tcPr>
            <w:tcW w:w="2115" w:type="dxa"/>
            <w:tcBorders>
              <w:tl2br w:val="nil"/>
              <w:tr2bl w:val="nil"/>
            </w:tcBorders>
            <w:noWrap w:val="0"/>
            <w:vAlign w:val="center"/>
          </w:tcPr>
          <w:p w14:paraId="65C1056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部门（单位）资产管理制度；采购资产相关资料。</w:t>
            </w:r>
          </w:p>
        </w:tc>
        <w:tc>
          <w:tcPr>
            <w:tcW w:w="586" w:type="dxa"/>
            <w:tcBorders>
              <w:tl2br w:val="nil"/>
              <w:tr2bl w:val="nil"/>
            </w:tcBorders>
            <w:noWrap w:val="0"/>
            <w:vAlign w:val="center"/>
          </w:tcPr>
          <w:p w14:paraId="00A373D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59EE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506F8955">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F8643BE">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FD29896">
            <w:pPr>
              <w:keepNext w:val="0"/>
              <w:keepLines w:val="0"/>
              <w:widowControl/>
              <w:suppressLineNumbers w:val="0"/>
              <w:jc w:val="center"/>
              <w:textAlignment w:val="center"/>
              <w:rPr>
                <w:rStyle w:val="13"/>
                <w:lang w:val="en-US" w:eastAsia="zh-CN" w:bidi="ar"/>
              </w:rPr>
            </w:pPr>
            <w:r>
              <w:rPr>
                <w:rStyle w:val="13"/>
                <w:lang w:val="en-US" w:eastAsia="zh-CN" w:bidi="ar"/>
              </w:rPr>
              <w:t>资产管理</w:t>
            </w:r>
          </w:p>
          <w:p w14:paraId="3B268C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安全性</w:t>
            </w:r>
          </w:p>
        </w:tc>
        <w:tc>
          <w:tcPr>
            <w:tcW w:w="495" w:type="dxa"/>
            <w:tcBorders>
              <w:tl2br w:val="nil"/>
              <w:tr2bl w:val="nil"/>
            </w:tcBorders>
            <w:noWrap w:val="0"/>
            <w:vAlign w:val="center"/>
          </w:tcPr>
          <w:p w14:paraId="3EC866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475281A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14:paraId="695B70FB">
            <w:pPr>
              <w:keepNext w:val="0"/>
              <w:keepLines w:val="0"/>
              <w:widowControl/>
              <w:suppressLineNumbers w:val="0"/>
              <w:jc w:val="left"/>
              <w:textAlignment w:val="center"/>
              <w:rPr>
                <w:rStyle w:val="13"/>
                <w:lang w:val="en-US" w:eastAsia="zh-CN" w:bidi="ar"/>
              </w:rPr>
            </w:pPr>
          </w:p>
          <w:p w14:paraId="4D767B39">
            <w:pPr>
              <w:keepNext w:val="0"/>
              <w:keepLines w:val="0"/>
              <w:widowControl/>
              <w:suppressLineNumbers w:val="0"/>
              <w:jc w:val="left"/>
              <w:textAlignment w:val="center"/>
              <w:rPr>
                <w:rStyle w:val="13"/>
                <w:lang w:val="en-US" w:eastAsia="zh-CN" w:bidi="ar"/>
              </w:rPr>
            </w:pPr>
            <w:r>
              <w:rPr>
                <w:rStyle w:val="13"/>
                <w:lang w:val="en-US" w:eastAsia="zh-CN" w:bidi="ar"/>
              </w:rPr>
              <w:t>①资产配置合理符合标准、保管完整，账务管理规范，定期盘点并有台账，账实相符的，计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p>
          <w:p w14:paraId="22084A48">
            <w:pPr>
              <w:keepNext w:val="0"/>
              <w:keepLines w:val="0"/>
              <w:widowControl/>
              <w:suppressLineNumbers w:val="0"/>
              <w:jc w:val="left"/>
              <w:textAlignment w:val="center"/>
              <w:rPr>
                <w:rStyle w:val="13"/>
                <w:lang w:val="en-US" w:eastAsia="zh-CN" w:bidi="ar"/>
              </w:rPr>
            </w:pPr>
            <w:r>
              <w:rPr>
                <w:rStyle w:val="13"/>
                <w:lang w:val="en-US" w:eastAsia="zh-CN" w:bidi="ar"/>
              </w:rPr>
              <w:t>②资产处置规范，计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p>
          <w:p w14:paraId="2F475095">
            <w:pPr>
              <w:keepNext w:val="0"/>
              <w:keepLines w:val="0"/>
              <w:widowControl/>
              <w:suppressLineNumbers w:val="0"/>
              <w:jc w:val="left"/>
              <w:textAlignment w:val="center"/>
              <w:rPr>
                <w:rStyle w:val="13"/>
                <w:lang w:val="en-US" w:eastAsia="zh-CN" w:bidi="ar"/>
              </w:rPr>
            </w:pPr>
            <w:r>
              <w:rPr>
                <w:rStyle w:val="13"/>
                <w:lang w:val="en-US" w:eastAsia="zh-CN" w:bidi="ar"/>
              </w:rPr>
              <w:t>③资产有偿使用或处置收入及时足额上缴，计</w:t>
            </w:r>
            <w:r>
              <w:rPr>
                <w:rStyle w:val="14"/>
                <w:rFonts w:eastAsia="宋体"/>
                <w:lang w:val="en-US" w:eastAsia="zh-CN" w:bidi="ar"/>
              </w:rPr>
              <w:t>0.5</w:t>
            </w:r>
            <w:r>
              <w:rPr>
                <w:rStyle w:val="13"/>
                <w:lang w:val="en-US" w:eastAsia="zh-CN" w:bidi="ar"/>
              </w:rPr>
              <w:t>分，发现未上缴，本项不得分；</w:t>
            </w:r>
          </w:p>
          <w:p w14:paraId="18723C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④资产购置履行政府采购手续，计</w:t>
            </w:r>
            <w:r>
              <w:rPr>
                <w:rStyle w:val="14"/>
                <w:rFonts w:eastAsia="宋体"/>
                <w:lang w:val="en-US" w:eastAsia="zh-CN" w:bidi="ar"/>
              </w:rPr>
              <w:t>0.3</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分，扣完为止；外租资产全部走合规程序，计</w:t>
            </w:r>
            <w:r>
              <w:rPr>
                <w:rStyle w:val="14"/>
                <w:rFonts w:eastAsia="宋体"/>
                <w:lang w:val="en-US" w:eastAsia="zh-CN" w:bidi="ar"/>
              </w:rPr>
              <w:t>0.2</w:t>
            </w:r>
            <w:r>
              <w:rPr>
                <w:rStyle w:val="13"/>
                <w:lang w:val="en-US" w:eastAsia="zh-CN" w:bidi="ar"/>
              </w:rPr>
              <w:t>分，发现一例不合规，扣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14:paraId="399A15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14:paraId="487801C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6A6B7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14:paraId="78E0E31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1E16DEB">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771209B">
            <w:pPr>
              <w:keepNext w:val="0"/>
              <w:keepLines w:val="0"/>
              <w:widowControl/>
              <w:suppressLineNumbers w:val="0"/>
              <w:jc w:val="center"/>
              <w:textAlignment w:val="center"/>
              <w:rPr>
                <w:rStyle w:val="13"/>
                <w:lang w:val="en-US" w:eastAsia="zh-CN" w:bidi="ar"/>
              </w:rPr>
            </w:pPr>
            <w:r>
              <w:rPr>
                <w:rStyle w:val="13"/>
                <w:lang w:val="en-US" w:eastAsia="zh-CN" w:bidi="ar"/>
              </w:rPr>
              <w:t>固定资产</w:t>
            </w:r>
          </w:p>
          <w:p w14:paraId="268132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保管和使用情况</w:t>
            </w:r>
          </w:p>
        </w:tc>
        <w:tc>
          <w:tcPr>
            <w:tcW w:w="495" w:type="dxa"/>
            <w:tcBorders>
              <w:tl2br w:val="nil"/>
              <w:tr2bl w:val="nil"/>
            </w:tcBorders>
            <w:noWrap w:val="0"/>
            <w:vAlign w:val="center"/>
          </w:tcPr>
          <w:p w14:paraId="6F12E6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11F46CC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掌握预算单位固定资产配置管理使用情况。</w:t>
            </w:r>
          </w:p>
        </w:tc>
        <w:tc>
          <w:tcPr>
            <w:tcW w:w="5112" w:type="dxa"/>
            <w:tcBorders>
              <w:tl2br w:val="nil"/>
              <w:tr2bl w:val="nil"/>
            </w:tcBorders>
            <w:noWrap w:val="0"/>
            <w:vAlign w:val="center"/>
          </w:tcPr>
          <w:p w14:paraId="5654AC4C">
            <w:pPr>
              <w:keepNext w:val="0"/>
              <w:keepLines w:val="0"/>
              <w:widowControl/>
              <w:suppressLineNumbers w:val="0"/>
              <w:jc w:val="left"/>
              <w:textAlignment w:val="center"/>
              <w:rPr>
                <w:rStyle w:val="13"/>
                <w:lang w:val="en-US" w:eastAsia="zh-CN" w:bidi="ar"/>
              </w:rPr>
            </w:pPr>
          </w:p>
          <w:p w14:paraId="78817E39">
            <w:pPr>
              <w:keepNext w:val="0"/>
              <w:keepLines w:val="0"/>
              <w:widowControl/>
              <w:suppressLineNumbers w:val="0"/>
              <w:jc w:val="left"/>
              <w:textAlignment w:val="center"/>
              <w:rPr>
                <w:rStyle w:val="13"/>
                <w:lang w:val="en-US" w:eastAsia="zh-CN" w:bidi="ar"/>
              </w:rPr>
            </w:pPr>
            <w:r>
              <w:rPr>
                <w:rStyle w:val="13"/>
                <w:lang w:val="en-US" w:eastAsia="zh-CN" w:bidi="ar"/>
              </w:rPr>
              <w:t>①建了固定资产台账实行编码管理，且编码与实物完全匹配计</w:t>
            </w:r>
            <w:r>
              <w:rPr>
                <w:rStyle w:val="14"/>
                <w:rFonts w:eastAsia="宋体"/>
                <w:lang w:val="en-US" w:eastAsia="zh-CN" w:bidi="ar"/>
              </w:rPr>
              <w:t>1</w:t>
            </w:r>
            <w:r>
              <w:rPr>
                <w:rStyle w:val="13"/>
                <w:lang w:val="en-US" w:eastAsia="zh-CN" w:bidi="ar"/>
              </w:rPr>
              <w:t>分，否则不得分；</w:t>
            </w:r>
          </w:p>
          <w:p w14:paraId="2AF80794">
            <w:pPr>
              <w:keepNext w:val="0"/>
              <w:keepLines w:val="0"/>
              <w:widowControl/>
              <w:suppressLineNumbers w:val="0"/>
              <w:jc w:val="left"/>
              <w:textAlignment w:val="center"/>
              <w:rPr>
                <w:rStyle w:val="13"/>
                <w:lang w:val="en-US" w:eastAsia="zh-CN" w:bidi="ar"/>
              </w:rPr>
            </w:pPr>
            <w:r>
              <w:rPr>
                <w:rStyle w:val="13"/>
                <w:lang w:val="en-US" w:eastAsia="zh-CN" w:bidi="ar"/>
              </w:rPr>
              <w:t>②建立了固定资产增减变化审批程序的计0.5分，否则不得分；</w:t>
            </w:r>
          </w:p>
          <w:p w14:paraId="2379F3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③固定资产无闲置浪费现象计0.5分，发现一处扣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14:paraId="3145D1C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部门（单位）固定资产实际使用情况；固定资产账。</w:t>
            </w:r>
          </w:p>
        </w:tc>
        <w:tc>
          <w:tcPr>
            <w:tcW w:w="586" w:type="dxa"/>
            <w:tcBorders>
              <w:tl2br w:val="nil"/>
              <w:tr2bl w:val="nil"/>
            </w:tcBorders>
            <w:noWrap w:val="0"/>
            <w:vAlign w:val="center"/>
          </w:tcPr>
          <w:p w14:paraId="0B3E606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FE5D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14:paraId="60E5B012">
            <w:pPr>
              <w:keepNext w:val="0"/>
              <w:keepLines w:val="0"/>
              <w:widowControl/>
              <w:suppressLineNumbers w:val="0"/>
              <w:jc w:val="center"/>
              <w:textAlignment w:val="center"/>
              <w:rPr>
                <w:rStyle w:val="13"/>
                <w:lang w:val="en-US" w:eastAsia="zh-CN" w:bidi="ar"/>
              </w:rPr>
            </w:pPr>
            <w:r>
              <w:rPr>
                <w:rStyle w:val="13"/>
                <w:lang w:val="en-US" w:eastAsia="zh-CN" w:bidi="ar"/>
              </w:rPr>
              <w:t>产出</w:t>
            </w:r>
          </w:p>
          <w:p w14:paraId="5C1865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w:t>
            </w:r>
            <w:r>
              <w:rPr>
                <w:rStyle w:val="14"/>
                <w:rFonts w:eastAsia="宋体"/>
                <w:lang w:val="en-US" w:eastAsia="zh-CN" w:bidi="ar"/>
              </w:rPr>
              <w:t>22</w:t>
            </w:r>
            <w:r>
              <w:rPr>
                <w:rStyle w:val="13"/>
                <w:lang w:val="en-US" w:eastAsia="zh-CN" w:bidi="ar"/>
              </w:rPr>
              <w:t>分）</w:t>
            </w:r>
          </w:p>
        </w:tc>
        <w:tc>
          <w:tcPr>
            <w:tcW w:w="870" w:type="dxa"/>
            <w:vMerge w:val="restart"/>
            <w:tcBorders>
              <w:tl2br w:val="nil"/>
              <w:tr2bl w:val="nil"/>
            </w:tcBorders>
            <w:noWrap w:val="0"/>
            <w:vAlign w:val="center"/>
          </w:tcPr>
          <w:p w14:paraId="254317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职责履行（</w:t>
            </w:r>
            <w:r>
              <w:rPr>
                <w:rStyle w:val="14"/>
                <w:rFonts w:eastAsia="宋体"/>
                <w:lang w:val="en-US" w:eastAsia="zh-CN" w:bidi="ar"/>
              </w:rPr>
              <w:t>22</w:t>
            </w:r>
            <w:r>
              <w:rPr>
                <w:rStyle w:val="13"/>
                <w:lang w:val="en-US" w:eastAsia="zh-CN" w:bidi="ar"/>
              </w:rPr>
              <w:t>分）</w:t>
            </w:r>
          </w:p>
        </w:tc>
        <w:tc>
          <w:tcPr>
            <w:tcW w:w="1050" w:type="dxa"/>
            <w:tcBorders>
              <w:tl2br w:val="nil"/>
              <w:tr2bl w:val="nil"/>
            </w:tcBorders>
            <w:noWrap w:val="0"/>
            <w:vAlign w:val="center"/>
          </w:tcPr>
          <w:p w14:paraId="3F91EC9B">
            <w:pPr>
              <w:keepNext w:val="0"/>
              <w:keepLines w:val="0"/>
              <w:widowControl/>
              <w:suppressLineNumbers w:val="0"/>
              <w:jc w:val="center"/>
              <w:textAlignment w:val="center"/>
              <w:rPr>
                <w:rStyle w:val="14"/>
                <w:rFonts w:eastAsia="宋体"/>
                <w:lang w:val="en-US" w:eastAsia="zh-CN" w:bidi="ar"/>
              </w:rPr>
            </w:pPr>
            <w:r>
              <w:rPr>
                <w:rStyle w:val="13"/>
                <w:lang w:val="en-US" w:eastAsia="zh-CN" w:bidi="ar"/>
              </w:rPr>
              <w:t>部门整体</w:t>
            </w:r>
            <w:r>
              <w:rPr>
                <w:rStyle w:val="14"/>
                <w:rFonts w:eastAsia="宋体"/>
                <w:lang w:val="en-US" w:eastAsia="zh-CN" w:bidi="ar"/>
              </w:rPr>
              <w:t xml:space="preserve"> </w:t>
            </w:r>
          </w:p>
          <w:p w14:paraId="560B44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工作质量</w:t>
            </w:r>
          </w:p>
        </w:tc>
        <w:tc>
          <w:tcPr>
            <w:tcW w:w="495" w:type="dxa"/>
            <w:tcBorders>
              <w:tl2br w:val="nil"/>
              <w:tr2bl w:val="nil"/>
            </w:tcBorders>
            <w:noWrap w:val="0"/>
            <w:vAlign w:val="center"/>
          </w:tcPr>
          <w:p w14:paraId="487E01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1A45504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反映部门党委政府绩效考核评估等级</w:t>
            </w:r>
          </w:p>
        </w:tc>
        <w:tc>
          <w:tcPr>
            <w:tcW w:w="5112" w:type="dxa"/>
            <w:tcBorders>
              <w:tl2br w:val="nil"/>
              <w:tr2bl w:val="nil"/>
            </w:tcBorders>
            <w:noWrap w:val="0"/>
            <w:vAlign w:val="center"/>
          </w:tcPr>
          <w:p w14:paraId="6ACB3E66">
            <w:pPr>
              <w:keepNext w:val="0"/>
              <w:keepLines w:val="0"/>
              <w:widowControl/>
              <w:suppressLineNumbers w:val="0"/>
              <w:jc w:val="left"/>
              <w:textAlignment w:val="center"/>
              <w:rPr>
                <w:rStyle w:val="13"/>
                <w:lang w:val="en-US" w:eastAsia="zh-CN" w:bidi="ar"/>
              </w:rPr>
            </w:pPr>
          </w:p>
          <w:p w14:paraId="2E8CC5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以市委、市政府绩效效考核评估结果为依据：优秀，计</w:t>
            </w:r>
            <w:r>
              <w:rPr>
                <w:rStyle w:val="14"/>
                <w:rFonts w:eastAsia="宋体"/>
                <w:lang w:val="en-US" w:eastAsia="zh-CN" w:bidi="ar"/>
              </w:rPr>
              <w:t>6</w:t>
            </w:r>
            <w:r>
              <w:rPr>
                <w:rStyle w:val="13"/>
                <w:lang w:val="en-US" w:eastAsia="zh-CN" w:bidi="ar"/>
              </w:rPr>
              <w:t>分；良好，</w:t>
            </w:r>
            <w:r>
              <w:rPr>
                <w:rStyle w:val="14"/>
                <w:rFonts w:eastAsia="宋体"/>
                <w:lang w:val="en-US" w:eastAsia="zh-CN" w:bidi="ar"/>
              </w:rPr>
              <w:t>4</w:t>
            </w:r>
            <w:r>
              <w:rPr>
                <w:rStyle w:val="13"/>
                <w:lang w:val="en-US" w:eastAsia="zh-CN" w:bidi="ar"/>
              </w:rPr>
              <w:t>分；合格，</w:t>
            </w:r>
            <w:r>
              <w:rPr>
                <w:rStyle w:val="14"/>
                <w:rFonts w:eastAsia="宋体"/>
                <w:lang w:val="en-US" w:eastAsia="zh-CN" w:bidi="ar"/>
              </w:rPr>
              <w:t>2</w:t>
            </w:r>
            <w:r>
              <w:rPr>
                <w:rStyle w:val="13"/>
                <w:lang w:val="en-US" w:eastAsia="zh-CN" w:bidi="ar"/>
              </w:rPr>
              <w:t>分；不合格，</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1F580401">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20CB5B1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08E2E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096FE0F8">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333D802A">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0774815F">
            <w:pPr>
              <w:keepNext w:val="0"/>
              <w:keepLines w:val="0"/>
              <w:widowControl/>
              <w:suppressLineNumbers w:val="0"/>
              <w:jc w:val="center"/>
              <w:textAlignment w:val="center"/>
              <w:rPr>
                <w:rStyle w:val="15"/>
                <w:lang w:val="en-US" w:eastAsia="zh-CN" w:bidi="ar"/>
              </w:rPr>
            </w:pPr>
            <w:r>
              <w:rPr>
                <w:rStyle w:val="15"/>
                <w:lang w:val="en-US" w:eastAsia="zh-CN" w:bidi="ar"/>
              </w:rPr>
              <w:t>实际</w:t>
            </w:r>
          </w:p>
          <w:p w14:paraId="4157DF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完成率</w:t>
            </w:r>
          </w:p>
        </w:tc>
        <w:tc>
          <w:tcPr>
            <w:tcW w:w="495" w:type="dxa"/>
            <w:tcBorders>
              <w:tl2br w:val="nil"/>
              <w:tr2bl w:val="nil"/>
            </w:tcBorders>
            <w:noWrap w:val="0"/>
            <w:vAlign w:val="center"/>
          </w:tcPr>
          <w:p w14:paraId="3E66D3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7DE88A3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14:paraId="65B82AA1">
            <w:pPr>
              <w:keepNext w:val="0"/>
              <w:keepLines w:val="0"/>
              <w:widowControl/>
              <w:suppressLineNumbers w:val="0"/>
              <w:jc w:val="left"/>
              <w:textAlignment w:val="center"/>
              <w:rPr>
                <w:rStyle w:val="15"/>
                <w:lang w:val="en-US" w:eastAsia="zh-CN" w:bidi="ar"/>
              </w:rPr>
            </w:pPr>
          </w:p>
          <w:p w14:paraId="2196F130">
            <w:pPr>
              <w:keepNext w:val="0"/>
              <w:keepLines w:val="0"/>
              <w:widowControl/>
              <w:suppressLineNumbers w:val="0"/>
              <w:jc w:val="left"/>
              <w:textAlignment w:val="center"/>
              <w:rPr>
                <w:rStyle w:val="15"/>
                <w:lang w:val="en-US" w:eastAsia="zh-CN" w:bidi="ar"/>
              </w:rPr>
            </w:pPr>
            <w:r>
              <w:rPr>
                <w:rStyle w:val="15"/>
                <w:lang w:val="en-US" w:eastAsia="zh-CN" w:bidi="ar"/>
              </w:rPr>
              <w:t>实际完成率</w:t>
            </w:r>
            <w:r>
              <w:rPr>
                <w:rStyle w:val="16"/>
                <w:rFonts w:eastAsia="宋体"/>
                <w:lang w:val="en-US" w:eastAsia="zh-CN" w:bidi="ar"/>
              </w:rPr>
              <w:t>=</w:t>
            </w:r>
            <w:r>
              <w:rPr>
                <w:rStyle w:val="15"/>
                <w:lang w:val="en-US" w:eastAsia="zh-CN" w:bidi="ar"/>
              </w:rPr>
              <w:t>（实际完成工作数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。实际完成工作数：一定时期（年度或规划期）内部门实际完成工作任务的数量。计划工作数：部门整体绩效目标确定的一定时期（年度或规划期）内预计完成工作任务的数量。</w:t>
            </w:r>
          </w:p>
          <w:p w14:paraId="75DF8A0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完成率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14C344D6">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0558C9C0">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5B726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14:paraId="1E95C858">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29CBCA51">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32178E27">
            <w:pPr>
              <w:keepNext w:val="0"/>
              <w:keepLines w:val="0"/>
              <w:widowControl/>
              <w:suppressLineNumbers w:val="0"/>
              <w:jc w:val="center"/>
              <w:textAlignment w:val="center"/>
              <w:rPr>
                <w:rStyle w:val="15"/>
                <w:lang w:val="en-US" w:eastAsia="zh-CN" w:bidi="ar"/>
              </w:rPr>
            </w:pPr>
            <w:r>
              <w:rPr>
                <w:rStyle w:val="15"/>
                <w:lang w:val="en-US" w:eastAsia="zh-CN" w:bidi="ar"/>
              </w:rPr>
              <w:t>完成</w:t>
            </w:r>
          </w:p>
          <w:p w14:paraId="39B555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及时性</w:t>
            </w:r>
          </w:p>
        </w:tc>
        <w:tc>
          <w:tcPr>
            <w:tcW w:w="495" w:type="dxa"/>
            <w:tcBorders>
              <w:tl2br w:val="nil"/>
              <w:tr2bl w:val="nil"/>
            </w:tcBorders>
            <w:noWrap w:val="0"/>
            <w:vAlign w:val="center"/>
          </w:tcPr>
          <w:p w14:paraId="143A30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5A35996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14:paraId="57A362AD">
            <w:pPr>
              <w:keepNext w:val="0"/>
              <w:keepLines w:val="0"/>
              <w:widowControl/>
              <w:suppressLineNumbers w:val="0"/>
              <w:jc w:val="left"/>
              <w:textAlignment w:val="center"/>
              <w:rPr>
                <w:rStyle w:val="15"/>
                <w:lang w:val="en-US" w:eastAsia="zh-CN" w:bidi="ar"/>
              </w:rPr>
            </w:pPr>
          </w:p>
          <w:p w14:paraId="4723FD05">
            <w:pPr>
              <w:keepNext w:val="0"/>
              <w:keepLines w:val="0"/>
              <w:widowControl/>
              <w:suppressLineNumbers w:val="0"/>
              <w:jc w:val="left"/>
              <w:textAlignment w:val="center"/>
              <w:rPr>
                <w:rStyle w:val="15"/>
                <w:lang w:val="en-US" w:eastAsia="zh-CN" w:bidi="ar"/>
              </w:rPr>
            </w:pPr>
            <w:r>
              <w:rPr>
                <w:rStyle w:val="15"/>
                <w:lang w:val="en-US" w:eastAsia="zh-CN" w:bidi="ar"/>
              </w:rPr>
              <w:t>完成及时率</w:t>
            </w:r>
            <w:r>
              <w:rPr>
                <w:rStyle w:val="16"/>
                <w:rFonts w:eastAsia="宋体"/>
                <w:lang w:val="en-US" w:eastAsia="zh-CN" w:bidi="ar"/>
              </w:rPr>
              <w:t>=</w:t>
            </w:r>
            <w:r>
              <w:rPr>
                <w:rStyle w:val="15"/>
                <w:lang w:val="en-US" w:eastAsia="zh-CN" w:bidi="ar"/>
              </w:rPr>
              <w:t>（及时完成实际工作数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。及时完成实际工作数：部门按照整体绩效目标确定的时限实际完成的工作任务数量。</w:t>
            </w:r>
          </w:p>
          <w:p w14:paraId="2A52D1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完成及时率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198D5C7B">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20716D0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7A2B6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5C6E3AD1">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4A4A762">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6D0FB4ED">
            <w:pPr>
              <w:keepNext w:val="0"/>
              <w:keepLines w:val="0"/>
              <w:widowControl/>
              <w:suppressLineNumbers w:val="0"/>
              <w:jc w:val="center"/>
              <w:textAlignment w:val="center"/>
              <w:rPr>
                <w:rStyle w:val="15"/>
                <w:lang w:val="en-US" w:eastAsia="zh-CN" w:bidi="ar"/>
              </w:rPr>
            </w:pPr>
            <w:r>
              <w:rPr>
                <w:rStyle w:val="15"/>
                <w:lang w:val="en-US" w:eastAsia="zh-CN" w:bidi="ar"/>
              </w:rPr>
              <w:t>质量</w:t>
            </w:r>
          </w:p>
          <w:p w14:paraId="4E5852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达标率</w:t>
            </w:r>
          </w:p>
        </w:tc>
        <w:tc>
          <w:tcPr>
            <w:tcW w:w="495" w:type="dxa"/>
            <w:tcBorders>
              <w:tl2br w:val="nil"/>
              <w:tr2bl w:val="nil"/>
            </w:tcBorders>
            <w:noWrap w:val="0"/>
            <w:vAlign w:val="center"/>
          </w:tcPr>
          <w:p w14:paraId="686583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3FC7EC7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达到质量标准（绩效标准值）的实际工作数与计划工作数的比率</w:t>
            </w:r>
            <w:r>
              <w:rPr>
                <w:rStyle w:val="16"/>
                <w:rFonts w:eastAsia="宋体"/>
                <w:lang w:val="en-US" w:eastAsia="zh-CN" w:bidi="ar"/>
              </w:rPr>
              <w:t>,</w:t>
            </w:r>
            <w:r>
              <w:rPr>
                <w:rStyle w:val="15"/>
                <w:lang w:val="en-US" w:eastAsia="zh-CN" w:bidi="ar"/>
              </w:rPr>
              <w:t>用以反映和考核部门履职质量目标的实现程度。</w:t>
            </w:r>
          </w:p>
        </w:tc>
        <w:tc>
          <w:tcPr>
            <w:tcW w:w="5112" w:type="dxa"/>
            <w:tcBorders>
              <w:tl2br w:val="nil"/>
              <w:tr2bl w:val="nil"/>
            </w:tcBorders>
            <w:noWrap w:val="0"/>
            <w:vAlign w:val="center"/>
          </w:tcPr>
          <w:p w14:paraId="4A25C677">
            <w:pPr>
              <w:keepNext w:val="0"/>
              <w:keepLines w:val="0"/>
              <w:widowControl/>
              <w:suppressLineNumbers w:val="0"/>
              <w:jc w:val="left"/>
              <w:textAlignment w:val="center"/>
              <w:rPr>
                <w:rStyle w:val="15"/>
                <w:lang w:val="en-US" w:eastAsia="zh-CN" w:bidi="ar"/>
              </w:rPr>
            </w:pPr>
          </w:p>
          <w:p w14:paraId="52B79EC0">
            <w:pPr>
              <w:keepNext w:val="0"/>
              <w:keepLines w:val="0"/>
              <w:widowControl/>
              <w:suppressLineNumbers w:val="0"/>
              <w:jc w:val="left"/>
              <w:textAlignment w:val="center"/>
              <w:rPr>
                <w:rStyle w:val="15"/>
                <w:lang w:val="en-US" w:eastAsia="zh-CN" w:bidi="ar"/>
              </w:rPr>
            </w:pPr>
            <w:r>
              <w:rPr>
                <w:rStyle w:val="15"/>
                <w:lang w:val="en-US" w:eastAsia="zh-CN" w:bidi="ar"/>
              </w:rPr>
              <w:t>质量达标率</w:t>
            </w:r>
            <w:r>
              <w:rPr>
                <w:rStyle w:val="16"/>
                <w:rFonts w:eastAsia="宋体"/>
                <w:lang w:val="en-US" w:eastAsia="zh-CN" w:bidi="ar"/>
              </w:rPr>
              <w:t>=</w:t>
            </w:r>
            <w:r>
              <w:rPr>
                <w:rStyle w:val="15"/>
                <w:lang w:val="en-US" w:eastAsia="zh-CN" w:bidi="ar"/>
              </w:rPr>
              <w:t>（质量达标实际工作数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。质量达标实际工作数：一定时期（年度或规划期）内部门实际完成工作数中达到部门绩效目标要求（绩效标准值）的工作任务数量。</w:t>
            </w:r>
          </w:p>
          <w:p w14:paraId="3D80C29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达标率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4488C13A">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5FAC74B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467D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14:paraId="662B199D">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0FFC57C4">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3F61B467">
            <w:pPr>
              <w:keepNext w:val="0"/>
              <w:keepLines w:val="0"/>
              <w:widowControl/>
              <w:suppressLineNumbers w:val="0"/>
              <w:jc w:val="center"/>
              <w:textAlignment w:val="center"/>
              <w:rPr>
                <w:rStyle w:val="15"/>
                <w:lang w:val="en-US" w:eastAsia="zh-CN" w:bidi="ar"/>
              </w:rPr>
            </w:pPr>
            <w:r>
              <w:rPr>
                <w:rStyle w:val="15"/>
                <w:lang w:val="en-US" w:eastAsia="zh-CN" w:bidi="ar"/>
              </w:rPr>
              <w:t>重点工作</w:t>
            </w:r>
          </w:p>
          <w:p w14:paraId="43B6B0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办结率</w:t>
            </w:r>
          </w:p>
        </w:tc>
        <w:tc>
          <w:tcPr>
            <w:tcW w:w="495" w:type="dxa"/>
            <w:tcBorders>
              <w:tl2br w:val="nil"/>
              <w:tr2bl w:val="nil"/>
            </w:tcBorders>
            <w:noWrap w:val="0"/>
            <w:vAlign w:val="center"/>
          </w:tcPr>
          <w:p w14:paraId="3EC196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4292E10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14:paraId="59515477">
            <w:pPr>
              <w:keepNext w:val="0"/>
              <w:keepLines w:val="0"/>
              <w:widowControl/>
              <w:suppressLineNumbers w:val="0"/>
              <w:jc w:val="left"/>
              <w:textAlignment w:val="center"/>
              <w:rPr>
                <w:rStyle w:val="15"/>
                <w:lang w:val="en-US" w:eastAsia="zh-CN" w:bidi="ar"/>
              </w:rPr>
            </w:pPr>
            <w:r>
              <w:rPr>
                <w:rStyle w:val="15"/>
                <w:lang w:val="en-US" w:eastAsia="zh-CN" w:bidi="ar"/>
              </w:rPr>
              <w:t>重点工作办结率</w:t>
            </w:r>
            <w:r>
              <w:rPr>
                <w:rStyle w:val="16"/>
                <w:rFonts w:eastAsia="宋体"/>
                <w:lang w:val="en-US" w:eastAsia="zh-CN" w:bidi="ar"/>
              </w:rPr>
              <w:t>=</w:t>
            </w:r>
            <w:r>
              <w:rPr>
                <w:rStyle w:val="15"/>
                <w:lang w:val="en-US" w:eastAsia="zh-CN" w:bidi="ar"/>
              </w:rPr>
              <w:t>（重点工作实际完成数</w:t>
            </w:r>
            <w:r>
              <w:rPr>
                <w:rStyle w:val="16"/>
                <w:rFonts w:eastAsia="宋体"/>
                <w:lang w:val="en-US" w:eastAsia="zh-CN" w:bidi="ar"/>
              </w:rPr>
              <w:t>/</w:t>
            </w:r>
            <w:r>
              <w:rPr>
                <w:rStyle w:val="15"/>
                <w:lang w:val="en-US" w:eastAsia="zh-CN" w:bidi="ar"/>
              </w:rPr>
              <w:t>交办或下达数）</w:t>
            </w:r>
            <w:r>
              <w:rPr>
                <w:rStyle w:val="16"/>
                <w:rFonts w:eastAsia="宋体"/>
                <w:lang w:val="en-US" w:eastAsia="zh-CN" w:bidi="ar"/>
              </w:rPr>
              <w:t>×100%</w:t>
            </w:r>
            <w:r>
              <w:rPr>
                <w:rStyle w:val="15"/>
                <w:lang w:val="en-US" w:eastAsia="zh-CN" w:bidi="ar"/>
              </w:rPr>
              <w:t>。</w:t>
            </w:r>
          </w:p>
          <w:p w14:paraId="3370A39A">
            <w:pPr>
              <w:keepNext w:val="0"/>
              <w:keepLines w:val="0"/>
              <w:widowControl/>
              <w:suppressLineNumbers w:val="0"/>
              <w:jc w:val="left"/>
              <w:textAlignment w:val="center"/>
              <w:rPr>
                <w:rStyle w:val="15"/>
                <w:lang w:val="en-US" w:eastAsia="zh-CN" w:bidi="ar"/>
              </w:rPr>
            </w:pPr>
            <w:r>
              <w:rPr>
                <w:rStyle w:val="15"/>
                <w:lang w:val="en-US" w:eastAsia="zh-CN" w:bidi="ar"/>
              </w:rPr>
              <w:t>重点工作是指党委、政府、人大、相关部门交办或下达的工作任务。</w:t>
            </w:r>
          </w:p>
          <w:p w14:paraId="74EDABB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办结率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52C864F3">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9F456E0">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3A19C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14:paraId="7A68A13B">
            <w:pPr>
              <w:keepNext w:val="0"/>
              <w:keepLines w:val="0"/>
              <w:widowControl/>
              <w:suppressLineNumbers w:val="0"/>
              <w:jc w:val="center"/>
              <w:textAlignment w:val="center"/>
              <w:rPr>
                <w:rStyle w:val="13"/>
                <w:lang w:val="en-US" w:eastAsia="zh-CN" w:bidi="ar"/>
              </w:rPr>
            </w:pPr>
            <w:r>
              <w:rPr>
                <w:rStyle w:val="13"/>
                <w:lang w:val="en-US" w:eastAsia="zh-CN" w:bidi="ar"/>
              </w:rPr>
              <w:t>效果</w:t>
            </w:r>
          </w:p>
          <w:p w14:paraId="066D6B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w:t>
            </w:r>
            <w:r>
              <w:rPr>
                <w:rStyle w:val="14"/>
                <w:rFonts w:eastAsia="宋体"/>
                <w:lang w:val="en-US" w:eastAsia="zh-CN" w:bidi="ar"/>
              </w:rPr>
              <w:t>17</w:t>
            </w:r>
            <w:r>
              <w:rPr>
                <w:rStyle w:val="13"/>
                <w:lang w:val="en-US" w:eastAsia="zh-CN" w:bidi="ar"/>
              </w:rPr>
              <w:t>分）</w:t>
            </w:r>
          </w:p>
        </w:tc>
        <w:tc>
          <w:tcPr>
            <w:tcW w:w="870" w:type="dxa"/>
            <w:vMerge w:val="restart"/>
            <w:tcBorders>
              <w:tl2br w:val="nil"/>
              <w:tr2bl w:val="nil"/>
            </w:tcBorders>
            <w:noWrap w:val="0"/>
            <w:vAlign w:val="center"/>
          </w:tcPr>
          <w:p w14:paraId="26169B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履职效益（</w:t>
            </w:r>
            <w:r>
              <w:rPr>
                <w:rStyle w:val="16"/>
                <w:rFonts w:eastAsia="宋体"/>
                <w:lang w:val="en-US" w:eastAsia="zh-CN" w:bidi="ar"/>
              </w:rPr>
              <w:t>17</w:t>
            </w:r>
            <w:r>
              <w:rPr>
                <w:rStyle w:val="15"/>
                <w:lang w:val="en-US" w:eastAsia="zh-CN" w:bidi="ar"/>
              </w:rPr>
              <w:t>分）</w:t>
            </w:r>
          </w:p>
        </w:tc>
        <w:tc>
          <w:tcPr>
            <w:tcW w:w="1050" w:type="dxa"/>
            <w:tcBorders>
              <w:tl2br w:val="nil"/>
              <w:tr2bl w:val="nil"/>
            </w:tcBorders>
            <w:noWrap w:val="0"/>
            <w:vAlign w:val="center"/>
          </w:tcPr>
          <w:p w14:paraId="77F25681">
            <w:pPr>
              <w:keepNext w:val="0"/>
              <w:keepLines w:val="0"/>
              <w:widowControl/>
              <w:suppressLineNumbers w:val="0"/>
              <w:jc w:val="center"/>
              <w:textAlignment w:val="center"/>
              <w:rPr>
                <w:rStyle w:val="15"/>
                <w:lang w:val="en-US" w:eastAsia="zh-CN" w:bidi="ar"/>
              </w:rPr>
            </w:pPr>
            <w:r>
              <w:rPr>
                <w:rStyle w:val="15"/>
                <w:lang w:val="en-US" w:eastAsia="zh-CN" w:bidi="ar"/>
              </w:rPr>
              <w:t>经济</w:t>
            </w:r>
          </w:p>
          <w:p w14:paraId="4596D1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效益</w:t>
            </w:r>
          </w:p>
        </w:tc>
        <w:tc>
          <w:tcPr>
            <w:tcW w:w="495" w:type="dxa"/>
            <w:vMerge w:val="restart"/>
            <w:tcBorders>
              <w:tl2br w:val="nil"/>
              <w:tr2bl w:val="nil"/>
            </w:tcBorders>
            <w:noWrap w:val="0"/>
            <w:vAlign w:val="center"/>
          </w:tcPr>
          <w:p w14:paraId="71FC4C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14:paraId="09A6AC0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14:paraId="400D664F">
            <w:pPr>
              <w:keepNext w:val="0"/>
              <w:keepLines w:val="0"/>
              <w:widowControl/>
              <w:suppressLineNumbers w:val="0"/>
              <w:jc w:val="left"/>
              <w:textAlignment w:val="center"/>
              <w:rPr>
                <w:rStyle w:val="15"/>
                <w:lang w:val="en-US" w:eastAsia="zh-CN" w:bidi="ar"/>
              </w:rPr>
            </w:pPr>
            <w:r>
              <w:rPr>
                <w:rStyle w:val="15"/>
                <w:lang w:val="en-US" w:eastAsia="zh-CN" w:bidi="ar"/>
              </w:rPr>
              <w:t>此三项指标可根据部门实际并结合部门整体支出绩效目标设立情况有选择的进行评价。</w:t>
            </w:r>
          </w:p>
          <w:p w14:paraId="53832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依据评价内容相应计分。</w:t>
            </w:r>
          </w:p>
        </w:tc>
        <w:tc>
          <w:tcPr>
            <w:tcW w:w="2115" w:type="dxa"/>
            <w:tcBorders>
              <w:tl2br w:val="nil"/>
              <w:tr2bl w:val="nil"/>
            </w:tcBorders>
            <w:noWrap w:val="0"/>
            <w:vAlign w:val="center"/>
          </w:tcPr>
          <w:p w14:paraId="1BCBDBF4">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0BD863C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2C97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1484283C">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3CEBDB7D">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3D6DD8C6">
            <w:pPr>
              <w:keepNext w:val="0"/>
              <w:keepLines w:val="0"/>
              <w:widowControl/>
              <w:suppressLineNumbers w:val="0"/>
              <w:jc w:val="center"/>
              <w:textAlignment w:val="center"/>
              <w:rPr>
                <w:rStyle w:val="15"/>
                <w:lang w:val="en-US" w:eastAsia="zh-CN" w:bidi="ar"/>
              </w:rPr>
            </w:pPr>
            <w:r>
              <w:rPr>
                <w:rStyle w:val="15"/>
                <w:lang w:val="en-US" w:eastAsia="zh-CN" w:bidi="ar"/>
              </w:rPr>
              <w:t>社会</w:t>
            </w:r>
          </w:p>
          <w:p w14:paraId="2D4301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效益</w:t>
            </w:r>
          </w:p>
        </w:tc>
        <w:tc>
          <w:tcPr>
            <w:tcW w:w="495" w:type="dxa"/>
            <w:vMerge w:val="continue"/>
            <w:tcBorders>
              <w:tl2br w:val="nil"/>
              <w:tr2bl w:val="nil"/>
            </w:tcBorders>
            <w:noWrap w:val="0"/>
            <w:vAlign w:val="center"/>
          </w:tcPr>
          <w:p w14:paraId="30B06F4C">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04076BD9">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7F942517">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226F490F">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6FE0B82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50D7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7BBA5B3B">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7496E3C1">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3ED66A23">
            <w:pPr>
              <w:keepNext w:val="0"/>
              <w:keepLines w:val="0"/>
              <w:widowControl/>
              <w:suppressLineNumbers w:val="0"/>
              <w:jc w:val="center"/>
              <w:textAlignment w:val="center"/>
              <w:rPr>
                <w:rStyle w:val="15"/>
                <w:lang w:val="en-US" w:eastAsia="zh-CN" w:bidi="ar"/>
              </w:rPr>
            </w:pPr>
            <w:r>
              <w:rPr>
                <w:rStyle w:val="15"/>
                <w:lang w:val="en-US" w:eastAsia="zh-CN" w:bidi="ar"/>
              </w:rPr>
              <w:t>生态</w:t>
            </w:r>
          </w:p>
          <w:p w14:paraId="324F20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效益</w:t>
            </w:r>
          </w:p>
        </w:tc>
        <w:tc>
          <w:tcPr>
            <w:tcW w:w="495" w:type="dxa"/>
            <w:vMerge w:val="continue"/>
            <w:tcBorders>
              <w:tl2br w:val="nil"/>
              <w:tr2bl w:val="nil"/>
            </w:tcBorders>
            <w:noWrap w:val="0"/>
            <w:vAlign w:val="center"/>
          </w:tcPr>
          <w:p w14:paraId="6168A059">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503F112B">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1292B298">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0309D3DA">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68888E5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7F735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14:paraId="6E931F73">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7A45F05D">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5E9EC1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社会公众或服务对象满意度</w:t>
            </w:r>
          </w:p>
        </w:tc>
        <w:tc>
          <w:tcPr>
            <w:tcW w:w="495" w:type="dxa"/>
            <w:tcBorders>
              <w:tl2br w:val="nil"/>
              <w:tr2bl w:val="nil"/>
            </w:tcBorders>
            <w:noWrap w:val="0"/>
            <w:vAlign w:val="center"/>
          </w:tcPr>
          <w:p w14:paraId="7981B8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56493FC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社会公众或部门的服务对象对部门履职效果的满意程度。</w:t>
            </w:r>
          </w:p>
        </w:tc>
        <w:tc>
          <w:tcPr>
            <w:tcW w:w="5112" w:type="dxa"/>
            <w:tcBorders>
              <w:tl2br w:val="nil"/>
              <w:tr2bl w:val="nil"/>
            </w:tcBorders>
            <w:noWrap w:val="0"/>
            <w:vAlign w:val="center"/>
          </w:tcPr>
          <w:p w14:paraId="46104C36">
            <w:pPr>
              <w:keepNext w:val="0"/>
              <w:keepLines w:val="0"/>
              <w:widowControl/>
              <w:suppressLineNumbers w:val="0"/>
              <w:jc w:val="left"/>
              <w:textAlignment w:val="center"/>
              <w:rPr>
                <w:rStyle w:val="15"/>
                <w:lang w:val="en-US" w:eastAsia="zh-CN" w:bidi="ar"/>
              </w:rPr>
            </w:pPr>
          </w:p>
          <w:p w14:paraId="705CF29E">
            <w:pPr>
              <w:keepNext w:val="0"/>
              <w:keepLines w:val="0"/>
              <w:widowControl/>
              <w:suppressLineNumbers w:val="0"/>
              <w:jc w:val="left"/>
              <w:textAlignment w:val="center"/>
              <w:rPr>
                <w:rStyle w:val="15"/>
                <w:lang w:val="en-US" w:eastAsia="zh-CN" w:bidi="ar"/>
              </w:rPr>
            </w:pPr>
            <w:r>
              <w:rPr>
                <w:rStyle w:val="15"/>
                <w:lang w:val="en-US" w:eastAsia="zh-CN" w:bidi="ar"/>
              </w:rPr>
              <w:t>社会公众或服务对象是指部门履行职责而影响到的部门、群体或个人。一般采取社会调查的方式</w:t>
            </w:r>
            <w:r>
              <w:rPr>
                <w:rStyle w:val="16"/>
                <w:rFonts w:eastAsia="宋体"/>
                <w:lang w:val="en-US" w:eastAsia="zh-CN" w:bidi="ar"/>
              </w:rPr>
              <w:t>(</w:t>
            </w:r>
            <w:r>
              <w:rPr>
                <w:rStyle w:val="15"/>
                <w:lang w:val="en-US" w:eastAsia="zh-CN" w:bidi="ar"/>
              </w:rPr>
              <w:t>不少于</w:t>
            </w:r>
            <w:r>
              <w:rPr>
                <w:rStyle w:val="16"/>
                <w:rFonts w:eastAsia="宋体"/>
                <w:lang w:val="en-US" w:eastAsia="zh-CN" w:bidi="ar"/>
              </w:rPr>
              <w:t>30</w:t>
            </w:r>
            <w:r>
              <w:rPr>
                <w:rStyle w:val="15"/>
                <w:lang w:val="en-US" w:eastAsia="zh-CN" w:bidi="ar"/>
              </w:rPr>
              <w:t>份</w:t>
            </w:r>
            <w:r>
              <w:rPr>
                <w:rStyle w:val="16"/>
                <w:rFonts w:eastAsia="宋体"/>
                <w:lang w:val="en-US" w:eastAsia="zh-CN" w:bidi="ar"/>
              </w:rPr>
              <w:t>)</w:t>
            </w:r>
            <w:r>
              <w:rPr>
                <w:rStyle w:val="15"/>
                <w:lang w:val="en-US" w:eastAsia="zh-CN" w:bidi="ar"/>
              </w:rPr>
              <w:t>。</w:t>
            </w:r>
          </w:p>
          <w:p w14:paraId="3A5512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满意率</w:t>
            </w:r>
            <w:r>
              <w:rPr>
                <w:rStyle w:val="16"/>
                <w:rFonts w:eastAsia="宋体"/>
                <w:lang w:val="en-US" w:eastAsia="zh-CN" w:bidi="ar"/>
              </w:rPr>
              <w:t>×8</w:t>
            </w:r>
            <w:r>
              <w:rPr>
                <w:rStyle w:val="15"/>
                <w:lang w:val="en-US" w:eastAsia="zh-CN" w:bidi="ar"/>
              </w:rPr>
              <w:t>分。</w:t>
            </w:r>
          </w:p>
        </w:tc>
        <w:tc>
          <w:tcPr>
            <w:tcW w:w="2115" w:type="dxa"/>
            <w:tcBorders>
              <w:tl2br w:val="nil"/>
              <w:tr2bl w:val="nil"/>
            </w:tcBorders>
            <w:noWrap w:val="0"/>
            <w:vAlign w:val="center"/>
          </w:tcPr>
          <w:p w14:paraId="61E5C16B">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14:paraId="047B6FA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14:paraId="39373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14:paraId="46D49B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合</w:t>
            </w:r>
            <w:r>
              <w:rPr>
                <w:rStyle w:val="18"/>
                <w:rFonts w:eastAsia="宋体"/>
                <w:lang w:val="en-US" w:eastAsia="zh-CN" w:bidi="ar"/>
              </w:rPr>
              <w:t xml:space="preserve">  </w:t>
            </w:r>
            <w:r>
              <w:rPr>
                <w:rStyle w:val="17"/>
                <w:lang w:val="en-US" w:eastAsia="zh-CN" w:bidi="ar"/>
              </w:rPr>
              <w:t>计</w:t>
            </w:r>
          </w:p>
        </w:tc>
        <w:tc>
          <w:tcPr>
            <w:tcW w:w="0" w:type="auto"/>
            <w:tcBorders>
              <w:tl2br w:val="nil"/>
              <w:tr2bl w:val="nil"/>
            </w:tcBorders>
            <w:noWrap/>
            <w:vAlign w:val="center"/>
          </w:tcPr>
          <w:p w14:paraId="54C9CE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14:paraId="1FDF17CF">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44349CEC">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310F26FF">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14A8DC0F">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93</w:t>
            </w:r>
          </w:p>
        </w:tc>
      </w:tr>
    </w:tbl>
    <w:p w14:paraId="5EE8606F">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14:paraId="29935FED">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6515BADF">
      <w:pPr>
        <w:pStyle w:val="2"/>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7"/>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5"/>
        <w:gridCol w:w="1335"/>
        <w:gridCol w:w="1080"/>
        <w:gridCol w:w="2160"/>
        <w:gridCol w:w="1890"/>
      </w:tblGrid>
      <w:tr w14:paraId="207E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7EACB9">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17AF201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3513E9E">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D93BF2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14:paraId="485C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F5228">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26B04062">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18273C0">
            <w:pP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E29C505">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100%</w:t>
            </w:r>
          </w:p>
        </w:tc>
      </w:tr>
      <w:tr w14:paraId="0F85F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C17CC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7FC255C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0E19BE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209A4E4">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14:paraId="25AA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74373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AA0AAC2">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2EBDDE">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0.33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602BE58">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0.25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305313D">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0.33</w:t>
            </w:r>
          </w:p>
        </w:tc>
      </w:tr>
      <w:tr w14:paraId="7843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63D403C">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67A39D3">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3C1605">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479662C">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12B2641">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3853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94EA173">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BD23CDA">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13EEAC">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A2196E0">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F627AD6">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66A9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CCD615D">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E00B94A">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ABFCEB">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8693580">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DBB1E89">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3EE3A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674A237">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FD309CD">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D193AB">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8DC2DC4">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6FAB1FE">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557A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019C932">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4211028">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AD524F">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0.33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397ED10">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0.25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8650837">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0.33</w:t>
            </w:r>
          </w:p>
        </w:tc>
      </w:tr>
      <w:tr w14:paraId="7085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3B684E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9ECDC28">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7A5360">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3DA8C43">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C491B91">
            <w:pPr>
              <w:rPr>
                <w:rFonts w:hint="eastAsia" w:ascii="仿宋" w:hAnsi="仿宋" w:eastAsia="仿宋" w:cs="仿宋"/>
                <w:i w:val="0"/>
                <w:iCs w:val="0"/>
                <w:color w:val="000000"/>
                <w:sz w:val="21"/>
                <w:szCs w:val="21"/>
                <w:u w:val="none"/>
              </w:rPr>
            </w:pPr>
          </w:p>
        </w:tc>
      </w:tr>
      <w:tr w14:paraId="2B0E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8236F8C">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05A60C0">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11AB06">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BEBFD6A">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EE71217">
            <w:pPr>
              <w:rPr>
                <w:rFonts w:hint="eastAsia" w:ascii="仿宋" w:hAnsi="仿宋" w:eastAsia="仿宋" w:cs="仿宋"/>
                <w:i w:val="0"/>
                <w:iCs w:val="0"/>
                <w:color w:val="000000"/>
                <w:sz w:val="21"/>
                <w:szCs w:val="21"/>
                <w:u w:val="none"/>
              </w:rPr>
            </w:pPr>
          </w:p>
        </w:tc>
      </w:tr>
      <w:tr w14:paraId="135D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41BD4B5">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8E8D1DE">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098D72">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7376B7B">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362148D">
            <w:pPr>
              <w:rPr>
                <w:rFonts w:hint="eastAsia" w:ascii="仿宋" w:hAnsi="仿宋" w:eastAsia="仿宋" w:cs="仿宋"/>
                <w:i w:val="0"/>
                <w:iCs w:val="0"/>
                <w:color w:val="000000"/>
                <w:sz w:val="21"/>
                <w:szCs w:val="21"/>
                <w:u w:val="none"/>
              </w:rPr>
            </w:pPr>
          </w:p>
        </w:tc>
      </w:tr>
      <w:tr w14:paraId="38A0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4FD7CED">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B14868B">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9C3156">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C14D3FB">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7577168">
            <w:pPr>
              <w:rPr>
                <w:rFonts w:hint="eastAsia" w:ascii="仿宋" w:hAnsi="仿宋" w:eastAsia="仿宋" w:cs="仿宋"/>
                <w:i w:val="0"/>
                <w:iCs w:val="0"/>
                <w:color w:val="000000"/>
                <w:sz w:val="21"/>
                <w:szCs w:val="21"/>
                <w:u w:val="none"/>
              </w:rPr>
            </w:pPr>
          </w:p>
        </w:tc>
      </w:tr>
      <w:tr w14:paraId="54D9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B4EDCC7">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6759469">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38B7BA">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C87B275">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713A1A3">
            <w:pPr>
              <w:rPr>
                <w:rFonts w:hint="default" w:ascii="仿宋" w:hAnsi="仿宋" w:eastAsia="仿宋" w:cs="仿宋"/>
                <w:i w:val="0"/>
                <w:iCs w:val="0"/>
                <w:color w:val="000000"/>
                <w:sz w:val="21"/>
                <w:szCs w:val="21"/>
                <w:u w:val="none"/>
                <w:lang w:val="en-US" w:eastAsia="zh-CN"/>
              </w:rPr>
            </w:pPr>
          </w:p>
        </w:tc>
      </w:tr>
      <w:tr w14:paraId="33B9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B32AC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6FAF5D8">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0EF722">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1D50166">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611C2A2">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11.5</w:t>
            </w:r>
          </w:p>
        </w:tc>
      </w:tr>
      <w:tr w14:paraId="25A2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E556A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DC30195">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9CB40E">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2AF6197">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F0C5864">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r>
      <w:tr w14:paraId="6B3B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E6489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1A5FA33">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87EA71">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C74FEF1">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7125542">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3.23</w:t>
            </w:r>
          </w:p>
        </w:tc>
      </w:tr>
      <w:tr w14:paraId="4B9B3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1042A8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0FA1441">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B9E022">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5.25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BFB64E0">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EA85DAF">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1.03</w:t>
            </w:r>
          </w:p>
        </w:tc>
      </w:tr>
      <w:tr w14:paraId="2B20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60470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10B9367">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9B14F0">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0.14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A93FC22">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2CA5485">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0.24</w:t>
            </w:r>
          </w:p>
        </w:tc>
      </w:tr>
      <w:tr w14:paraId="2BCB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59F96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64C314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7E8A0D">
            <w:pP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99F3887">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093FF64">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r>
      <w:tr w14:paraId="6D92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52E33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4F437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798932">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F5CADA4">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09FC61C">
            <w:pPr>
              <w:rPr>
                <w:rFonts w:hint="eastAsia" w:ascii="仿宋" w:hAnsi="仿宋" w:eastAsia="仿宋" w:cs="仿宋"/>
                <w:i w:val="0"/>
                <w:iCs w:val="0"/>
                <w:color w:val="000000"/>
                <w:sz w:val="21"/>
                <w:szCs w:val="21"/>
                <w:u w:val="none"/>
              </w:rPr>
            </w:pPr>
          </w:p>
        </w:tc>
      </w:tr>
      <w:tr w14:paraId="0470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EA391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538FFE21">
            <w:pPr>
              <w:rPr>
                <w:rFonts w:hint="eastAsia" w:ascii="宋体" w:hAnsi="宋体" w:eastAsia="宋体" w:cs="宋体"/>
                <w:i w:val="0"/>
                <w:iCs w:val="0"/>
                <w:color w:val="000000"/>
                <w:sz w:val="24"/>
                <w:szCs w:val="24"/>
                <w:u w:val="none"/>
              </w:rPr>
            </w:pPr>
          </w:p>
        </w:tc>
      </w:tr>
    </w:tbl>
    <w:p w14:paraId="5DFFBEB8">
      <w:pPr>
        <w:pStyle w:val="2"/>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14:paraId="77DE6851">
      <w:pPr>
        <w:pStyle w:val="2"/>
        <w:ind w:left="0" w:leftChars="0" w:firstLine="0" w:firstLineChars="0"/>
        <w:rPr>
          <w:rFonts w:hint="eastAsia" w:ascii="仿宋" w:hAnsi="仿宋" w:eastAsia="仿宋" w:cs="仿宋"/>
          <w:sz w:val="24"/>
          <w:szCs w:val="24"/>
          <w:lang w:val="en-US" w:eastAsia="zh-CN"/>
        </w:rPr>
      </w:pPr>
    </w:p>
    <w:p w14:paraId="0CAC4ECE">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填表人：         填报日期：       联系电话：        单位负责人签字：</w:t>
      </w:r>
    </w:p>
    <w:p w14:paraId="3D59416B">
      <w:pPr>
        <w:adjustRightInd w:val="0"/>
        <w:spacing w:line="600" w:lineRule="exact"/>
        <w:ind w:right="641"/>
        <w:rPr>
          <w:rFonts w:hint="eastAsia" w:ascii="黑体" w:eastAsia="黑体"/>
          <w:sz w:val="32"/>
          <w:szCs w:val="32"/>
        </w:rPr>
      </w:pPr>
    </w:p>
    <w:p w14:paraId="41B17F82">
      <w:pPr>
        <w:adjustRightInd w:val="0"/>
        <w:spacing w:line="600" w:lineRule="exact"/>
        <w:ind w:right="641"/>
        <w:rPr>
          <w:rFonts w:hint="eastAsia" w:ascii="黑体" w:eastAsia="黑体"/>
          <w:sz w:val="32"/>
          <w:szCs w:val="32"/>
        </w:rPr>
      </w:pPr>
    </w:p>
    <w:p w14:paraId="20C6FAAB">
      <w:pPr>
        <w:adjustRightInd w:val="0"/>
        <w:spacing w:line="600" w:lineRule="exact"/>
        <w:ind w:right="641"/>
        <w:rPr>
          <w:rFonts w:hint="eastAsia" w:ascii="黑体" w:eastAsia="黑体"/>
          <w:sz w:val="32"/>
          <w:szCs w:val="32"/>
        </w:rPr>
      </w:pPr>
    </w:p>
    <w:p w14:paraId="2DE621AA">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14:paraId="1DC1FC60">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14:paraId="058D0DE2">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10231" w:type="dxa"/>
        <w:jc w:val="center"/>
        <w:tblLayout w:type="autofit"/>
        <w:tblCellMar>
          <w:top w:w="0" w:type="dxa"/>
          <w:left w:w="108" w:type="dxa"/>
          <w:bottom w:w="0" w:type="dxa"/>
          <w:right w:w="108" w:type="dxa"/>
        </w:tblCellMar>
      </w:tblPr>
      <w:tblGrid>
        <w:gridCol w:w="1046"/>
        <w:gridCol w:w="777"/>
        <w:gridCol w:w="1153"/>
        <w:gridCol w:w="2073"/>
        <w:gridCol w:w="872"/>
        <w:gridCol w:w="1037"/>
        <w:gridCol w:w="536"/>
        <w:gridCol w:w="429"/>
        <w:gridCol w:w="256"/>
        <w:gridCol w:w="2052"/>
      </w:tblGrid>
      <w:tr w14:paraId="670F6A2C">
        <w:tblPrEx>
          <w:tblCellMar>
            <w:top w:w="0" w:type="dxa"/>
            <w:left w:w="108" w:type="dxa"/>
            <w:bottom w:w="0" w:type="dxa"/>
            <w:right w:w="108" w:type="dxa"/>
          </w:tblCellMar>
        </w:tblPrEx>
        <w:trPr>
          <w:trHeight w:val="504"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30135AA6">
            <w:pPr>
              <w:widowControl/>
              <w:spacing w:line="0" w:lineRule="atLeast"/>
              <w:jc w:val="center"/>
              <w:rPr>
                <w:rFonts w:eastAsia="仿宋_GB2312"/>
                <w:kern w:val="0"/>
                <w:szCs w:val="21"/>
              </w:rPr>
            </w:pPr>
            <w:r>
              <w:rPr>
                <w:rFonts w:hint="eastAsia" w:eastAsia="仿宋_GB2312"/>
                <w:kern w:val="0"/>
                <w:szCs w:val="21"/>
              </w:rPr>
              <w:t>项目支</w:t>
            </w:r>
          </w:p>
          <w:p w14:paraId="4D2A2690">
            <w:pPr>
              <w:widowControl/>
              <w:spacing w:line="0" w:lineRule="atLeast"/>
              <w:jc w:val="center"/>
              <w:rPr>
                <w:rFonts w:eastAsia="仿宋_GB2312"/>
                <w:kern w:val="0"/>
                <w:szCs w:val="21"/>
              </w:rPr>
            </w:pPr>
            <w:r>
              <w:rPr>
                <w:rFonts w:hint="eastAsia" w:eastAsia="仿宋_GB2312"/>
                <w:kern w:val="0"/>
                <w:szCs w:val="21"/>
              </w:rPr>
              <w:t>出名称</w:t>
            </w:r>
          </w:p>
        </w:tc>
        <w:tc>
          <w:tcPr>
            <w:tcW w:w="9185" w:type="dxa"/>
            <w:gridSpan w:val="9"/>
            <w:tcBorders>
              <w:top w:val="single" w:color="auto" w:sz="4" w:space="0"/>
              <w:left w:val="nil"/>
              <w:bottom w:val="single" w:color="auto" w:sz="4" w:space="0"/>
              <w:right w:val="single" w:color="000000" w:sz="4" w:space="0"/>
            </w:tcBorders>
            <w:vAlign w:val="center"/>
          </w:tcPr>
          <w:p w14:paraId="3579F5D7">
            <w:pPr>
              <w:widowControl/>
              <w:spacing w:line="0" w:lineRule="atLeast"/>
              <w:jc w:val="center"/>
              <w:rPr>
                <w:rFonts w:eastAsia="仿宋_GB2312"/>
                <w:kern w:val="0"/>
                <w:szCs w:val="21"/>
              </w:rPr>
            </w:pPr>
            <w:r>
              <w:rPr>
                <w:rFonts w:hint="eastAsia" w:eastAsia="仿宋_GB2312"/>
                <w:kern w:val="0"/>
                <w:szCs w:val="21"/>
                <w:lang w:val="en-US" w:eastAsia="zh-CN"/>
              </w:rPr>
              <w:t>邵阳县档案馆</w:t>
            </w:r>
            <w:r>
              <w:rPr>
                <w:rFonts w:hint="eastAsia" w:eastAsia="仿宋_GB2312"/>
                <w:kern w:val="0"/>
                <w:szCs w:val="21"/>
              </w:rPr>
              <w:t>　</w:t>
            </w:r>
          </w:p>
        </w:tc>
      </w:tr>
      <w:tr w14:paraId="52BE368F">
        <w:tblPrEx>
          <w:tblCellMar>
            <w:top w:w="0" w:type="dxa"/>
            <w:left w:w="108" w:type="dxa"/>
            <w:bottom w:w="0" w:type="dxa"/>
            <w:right w:w="108" w:type="dxa"/>
          </w:tblCellMar>
        </w:tblPrEx>
        <w:trPr>
          <w:trHeight w:val="340" w:hRule="atLeast"/>
          <w:jc w:val="center"/>
        </w:trPr>
        <w:tc>
          <w:tcPr>
            <w:tcW w:w="1046" w:type="dxa"/>
            <w:tcBorders>
              <w:top w:val="nil"/>
              <w:left w:val="single" w:color="auto" w:sz="4" w:space="0"/>
              <w:bottom w:val="single" w:color="auto" w:sz="4" w:space="0"/>
              <w:right w:val="single" w:color="auto" w:sz="4" w:space="0"/>
            </w:tcBorders>
            <w:vAlign w:val="center"/>
          </w:tcPr>
          <w:p w14:paraId="22DD0323">
            <w:pPr>
              <w:widowControl/>
              <w:spacing w:line="0" w:lineRule="atLeast"/>
              <w:jc w:val="left"/>
              <w:rPr>
                <w:rFonts w:eastAsia="仿宋_GB2312"/>
                <w:kern w:val="0"/>
                <w:szCs w:val="21"/>
              </w:rPr>
            </w:pPr>
            <w:r>
              <w:rPr>
                <w:rFonts w:hint="eastAsia" w:eastAsia="仿宋_GB2312"/>
                <w:kern w:val="0"/>
                <w:szCs w:val="21"/>
              </w:rPr>
              <w:t>主管部门</w:t>
            </w:r>
          </w:p>
        </w:tc>
        <w:tc>
          <w:tcPr>
            <w:tcW w:w="4875" w:type="dxa"/>
            <w:gridSpan w:val="4"/>
            <w:tcBorders>
              <w:top w:val="single" w:color="auto" w:sz="4" w:space="0"/>
              <w:left w:val="nil"/>
              <w:bottom w:val="single" w:color="auto" w:sz="4" w:space="0"/>
              <w:right w:val="single" w:color="auto" w:sz="4" w:space="0"/>
            </w:tcBorders>
            <w:vAlign w:val="center"/>
          </w:tcPr>
          <w:p w14:paraId="50E6CC93">
            <w:pPr>
              <w:widowControl/>
              <w:spacing w:line="0" w:lineRule="atLeast"/>
              <w:jc w:val="left"/>
              <w:rPr>
                <w:rFonts w:eastAsia="仿宋_GB2312"/>
                <w:kern w:val="0"/>
                <w:szCs w:val="21"/>
              </w:rPr>
            </w:pPr>
            <w:r>
              <w:rPr>
                <w:rFonts w:hint="eastAsia" w:eastAsia="仿宋_GB2312"/>
                <w:kern w:val="0"/>
                <w:szCs w:val="21"/>
              </w:rPr>
              <w:t>　</w:t>
            </w:r>
          </w:p>
        </w:tc>
        <w:tc>
          <w:tcPr>
            <w:tcW w:w="1037" w:type="dxa"/>
            <w:tcBorders>
              <w:top w:val="single" w:color="auto" w:sz="4" w:space="0"/>
              <w:left w:val="nil"/>
              <w:bottom w:val="single" w:color="auto" w:sz="4" w:space="0"/>
              <w:right w:val="single" w:color="000000" w:sz="4" w:space="0"/>
            </w:tcBorders>
            <w:vAlign w:val="center"/>
          </w:tcPr>
          <w:p w14:paraId="21D1009D">
            <w:pPr>
              <w:widowControl/>
              <w:spacing w:line="0" w:lineRule="atLeast"/>
              <w:jc w:val="center"/>
              <w:rPr>
                <w:rFonts w:eastAsia="仿宋_GB2312"/>
                <w:kern w:val="0"/>
                <w:szCs w:val="21"/>
              </w:rPr>
            </w:pPr>
            <w:r>
              <w:rPr>
                <w:rFonts w:hint="eastAsia" w:eastAsia="仿宋_GB2312"/>
                <w:kern w:val="0"/>
                <w:szCs w:val="21"/>
              </w:rPr>
              <w:t>实施单位</w:t>
            </w:r>
          </w:p>
        </w:tc>
        <w:tc>
          <w:tcPr>
            <w:tcW w:w="3273" w:type="dxa"/>
            <w:gridSpan w:val="4"/>
            <w:tcBorders>
              <w:top w:val="single" w:color="auto" w:sz="4" w:space="0"/>
              <w:left w:val="nil"/>
              <w:bottom w:val="single" w:color="auto" w:sz="4" w:space="0"/>
              <w:right w:val="single" w:color="auto" w:sz="4" w:space="0"/>
            </w:tcBorders>
            <w:vAlign w:val="center"/>
          </w:tcPr>
          <w:p w14:paraId="74CCD187">
            <w:pPr>
              <w:widowControl/>
              <w:spacing w:line="0" w:lineRule="atLeast"/>
              <w:jc w:val="left"/>
              <w:rPr>
                <w:rFonts w:eastAsia="仿宋_GB2312"/>
                <w:kern w:val="0"/>
                <w:szCs w:val="21"/>
              </w:rPr>
            </w:pPr>
            <w:r>
              <w:rPr>
                <w:rFonts w:hint="eastAsia" w:eastAsia="仿宋_GB2312"/>
                <w:kern w:val="0"/>
                <w:szCs w:val="21"/>
                <w:lang w:val="en-US" w:eastAsia="zh-CN"/>
              </w:rPr>
              <w:t>邵阳县档案馆</w:t>
            </w:r>
            <w:r>
              <w:rPr>
                <w:rFonts w:hint="eastAsia" w:eastAsia="仿宋_GB2312"/>
                <w:kern w:val="0"/>
                <w:szCs w:val="21"/>
              </w:rPr>
              <w:t>　</w:t>
            </w:r>
          </w:p>
        </w:tc>
      </w:tr>
      <w:tr w14:paraId="3CDF3676">
        <w:tblPrEx>
          <w:tblCellMar>
            <w:top w:w="0" w:type="dxa"/>
            <w:left w:w="108" w:type="dxa"/>
            <w:bottom w:w="0" w:type="dxa"/>
            <w:right w:w="108" w:type="dxa"/>
          </w:tblCellMar>
        </w:tblPrEx>
        <w:trPr>
          <w:trHeight w:val="373" w:hRule="atLeast"/>
          <w:jc w:val="center"/>
        </w:trPr>
        <w:tc>
          <w:tcPr>
            <w:tcW w:w="1046" w:type="dxa"/>
            <w:vMerge w:val="restart"/>
            <w:tcBorders>
              <w:top w:val="nil"/>
              <w:left w:val="single" w:color="auto" w:sz="4" w:space="0"/>
              <w:bottom w:val="single" w:color="000000" w:sz="4" w:space="0"/>
              <w:right w:val="single" w:color="auto" w:sz="4" w:space="0"/>
            </w:tcBorders>
            <w:vAlign w:val="center"/>
          </w:tcPr>
          <w:p w14:paraId="695BC25B">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14:paraId="58B90D71">
            <w:pPr>
              <w:widowControl/>
              <w:spacing w:line="0" w:lineRule="atLeast"/>
              <w:jc w:val="center"/>
              <w:rPr>
                <w:rFonts w:eastAsia="仿宋_GB2312"/>
                <w:kern w:val="0"/>
                <w:szCs w:val="21"/>
              </w:rPr>
            </w:pPr>
            <w:r>
              <w:rPr>
                <w:rFonts w:hint="eastAsia" w:eastAsia="仿宋_GB2312"/>
                <w:kern w:val="0"/>
                <w:szCs w:val="21"/>
              </w:rPr>
              <w:t>（万元）</w:t>
            </w:r>
          </w:p>
        </w:tc>
        <w:tc>
          <w:tcPr>
            <w:tcW w:w="1930" w:type="dxa"/>
            <w:gridSpan w:val="2"/>
            <w:tcBorders>
              <w:top w:val="nil"/>
              <w:left w:val="nil"/>
              <w:bottom w:val="single" w:color="auto" w:sz="4" w:space="0"/>
              <w:right w:val="single" w:color="auto" w:sz="4" w:space="0"/>
            </w:tcBorders>
            <w:vAlign w:val="center"/>
          </w:tcPr>
          <w:p w14:paraId="4B6BEF8D">
            <w:pPr>
              <w:widowControl/>
              <w:spacing w:line="0" w:lineRule="atLeast"/>
              <w:jc w:val="left"/>
              <w:rPr>
                <w:rFonts w:eastAsia="仿宋_GB2312"/>
                <w:kern w:val="0"/>
                <w:szCs w:val="21"/>
              </w:rPr>
            </w:pPr>
            <w:r>
              <w:rPr>
                <w:rFonts w:hint="eastAsia" w:eastAsia="仿宋_GB2312"/>
                <w:kern w:val="0"/>
                <w:szCs w:val="21"/>
              </w:rPr>
              <w:t>　</w:t>
            </w:r>
          </w:p>
        </w:tc>
        <w:tc>
          <w:tcPr>
            <w:tcW w:w="2073" w:type="dxa"/>
            <w:tcBorders>
              <w:top w:val="nil"/>
              <w:left w:val="nil"/>
              <w:bottom w:val="single" w:color="auto" w:sz="4" w:space="0"/>
              <w:right w:val="single" w:color="auto" w:sz="4" w:space="0"/>
            </w:tcBorders>
            <w:vAlign w:val="center"/>
          </w:tcPr>
          <w:p w14:paraId="4158F029">
            <w:pPr>
              <w:widowControl/>
              <w:spacing w:line="0" w:lineRule="atLeast"/>
              <w:jc w:val="left"/>
              <w:rPr>
                <w:rFonts w:eastAsia="仿宋_GB2312"/>
                <w:kern w:val="0"/>
                <w:szCs w:val="21"/>
              </w:rPr>
            </w:pPr>
            <w:r>
              <w:rPr>
                <w:rFonts w:hint="eastAsia" w:eastAsia="仿宋_GB2312"/>
                <w:kern w:val="0"/>
                <w:szCs w:val="21"/>
              </w:rPr>
              <w:t>年初预算数</w:t>
            </w:r>
          </w:p>
        </w:tc>
        <w:tc>
          <w:tcPr>
            <w:tcW w:w="872" w:type="dxa"/>
            <w:tcBorders>
              <w:top w:val="nil"/>
              <w:left w:val="nil"/>
              <w:bottom w:val="single" w:color="auto" w:sz="4" w:space="0"/>
              <w:right w:val="single" w:color="auto" w:sz="4" w:space="0"/>
            </w:tcBorders>
            <w:vAlign w:val="center"/>
          </w:tcPr>
          <w:p w14:paraId="2FD82D00">
            <w:pPr>
              <w:widowControl/>
              <w:spacing w:line="0" w:lineRule="atLeast"/>
              <w:jc w:val="left"/>
              <w:rPr>
                <w:rFonts w:eastAsia="仿宋_GB2312"/>
                <w:kern w:val="0"/>
                <w:szCs w:val="21"/>
              </w:rPr>
            </w:pPr>
            <w:r>
              <w:rPr>
                <w:rFonts w:hint="eastAsia" w:eastAsia="仿宋_GB2312"/>
                <w:kern w:val="0"/>
                <w:szCs w:val="21"/>
              </w:rPr>
              <w:t>全年预算数</w:t>
            </w:r>
          </w:p>
        </w:tc>
        <w:tc>
          <w:tcPr>
            <w:tcW w:w="1037" w:type="dxa"/>
            <w:tcBorders>
              <w:top w:val="nil"/>
              <w:left w:val="nil"/>
              <w:bottom w:val="single" w:color="auto" w:sz="4" w:space="0"/>
              <w:right w:val="single" w:color="auto" w:sz="4" w:space="0"/>
            </w:tcBorders>
            <w:vAlign w:val="center"/>
          </w:tcPr>
          <w:p w14:paraId="7C62856F">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14:paraId="6CD25F88">
            <w:pPr>
              <w:spacing w:line="0" w:lineRule="atLeast"/>
              <w:ind w:leftChars="-54" w:hanging="113" w:hangingChars="54"/>
              <w:jc w:val="center"/>
              <w:rPr>
                <w:rFonts w:eastAsia="仿宋_GB2312"/>
                <w:szCs w:val="21"/>
              </w:rPr>
            </w:pPr>
            <w:r>
              <w:rPr>
                <w:rFonts w:hint="eastAsia" w:eastAsia="仿宋_GB2312"/>
                <w:szCs w:val="21"/>
              </w:rPr>
              <w:t>分值</w:t>
            </w:r>
          </w:p>
        </w:tc>
        <w:tc>
          <w:tcPr>
            <w:tcW w:w="685" w:type="dxa"/>
            <w:gridSpan w:val="2"/>
            <w:tcBorders>
              <w:top w:val="nil"/>
              <w:left w:val="nil"/>
              <w:bottom w:val="single" w:color="auto" w:sz="4" w:space="0"/>
              <w:right w:val="single" w:color="auto" w:sz="4" w:space="0"/>
            </w:tcBorders>
            <w:vAlign w:val="center"/>
          </w:tcPr>
          <w:p w14:paraId="7773560F">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2052" w:type="dxa"/>
            <w:tcBorders>
              <w:top w:val="nil"/>
              <w:left w:val="nil"/>
              <w:bottom w:val="single" w:color="auto" w:sz="4" w:space="0"/>
              <w:right w:val="single" w:color="auto" w:sz="4" w:space="0"/>
            </w:tcBorders>
            <w:vAlign w:val="center"/>
          </w:tcPr>
          <w:p w14:paraId="6B5EA7B1">
            <w:pPr>
              <w:spacing w:line="0" w:lineRule="atLeast"/>
              <w:jc w:val="center"/>
              <w:rPr>
                <w:rFonts w:eastAsia="仿宋_GB2312"/>
                <w:szCs w:val="21"/>
              </w:rPr>
            </w:pPr>
            <w:r>
              <w:rPr>
                <w:rFonts w:hint="eastAsia" w:eastAsia="仿宋_GB2312"/>
                <w:szCs w:val="21"/>
              </w:rPr>
              <w:t>得分</w:t>
            </w:r>
          </w:p>
        </w:tc>
      </w:tr>
      <w:tr w14:paraId="10435500">
        <w:tblPrEx>
          <w:tblCellMar>
            <w:top w:w="0" w:type="dxa"/>
            <w:left w:w="108" w:type="dxa"/>
            <w:bottom w:w="0" w:type="dxa"/>
            <w:right w:w="108" w:type="dxa"/>
          </w:tblCellMar>
        </w:tblPrEx>
        <w:trPr>
          <w:trHeight w:val="340" w:hRule="atLeast"/>
          <w:jc w:val="center"/>
        </w:trPr>
        <w:tc>
          <w:tcPr>
            <w:tcW w:w="1046" w:type="dxa"/>
            <w:vMerge w:val="continue"/>
            <w:tcBorders>
              <w:top w:val="nil"/>
              <w:left w:val="single" w:color="auto" w:sz="4" w:space="0"/>
              <w:bottom w:val="single" w:color="000000" w:sz="4" w:space="0"/>
              <w:right w:val="single" w:color="auto" w:sz="4" w:space="0"/>
            </w:tcBorders>
            <w:vAlign w:val="center"/>
          </w:tcPr>
          <w:p w14:paraId="27BD6146">
            <w:pPr>
              <w:widowControl/>
              <w:spacing w:line="0" w:lineRule="atLeast"/>
              <w:jc w:val="left"/>
              <w:rPr>
                <w:rFonts w:eastAsia="仿宋_GB2312"/>
                <w:kern w:val="0"/>
                <w:szCs w:val="21"/>
              </w:rPr>
            </w:pPr>
          </w:p>
        </w:tc>
        <w:tc>
          <w:tcPr>
            <w:tcW w:w="1930" w:type="dxa"/>
            <w:gridSpan w:val="2"/>
            <w:tcBorders>
              <w:top w:val="nil"/>
              <w:left w:val="nil"/>
              <w:bottom w:val="single" w:color="auto" w:sz="4" w:space="0"/>
              <w:right w:val="single" w:color="auto" w:sz="4" w:space="0"/>
            </w:tcBorders>
            <w:vAlign w:val="center"/>
          </w:tcPr>
          <w:p w14:paraId="6E20F448">
            <w:pPr>
              <w:widowControl/>
              <w:spacing w:line="0" w:lineRule="atLeast"/>
              <w:jc w:val="left"/>
              <w:rPr>
                <w:rFonts w:eastAsia="仿宋_GB2312"/>
                <w:kern w:val="0"/>
                <w:szCs w:val="21"/>
              </w:rPr>
            </w:pPr>
            <w:r>
              <w:rPr>
                <w:rFonts w:hint="eastAsia" w:eastAsia="仿宋_GB2312"/>
                <w:kern w:val="0"/>
                <w:szCs w:val="21"/>
              </w:rPr>
              <w:t>年度资金总额　</w:t>
            </w:r>
          </w:p>
        </w:tc>
        <w:tc>
          <w:tcPr>
            <w:tcW w:w="2073" w:type="dxa"/>
            <w:tcBorders>
              <w:top w:val="nil"/>
              <w:left w:val="nil"/>
              <w:bottom w:val="single" w:color="auto" w:sz="4" w:space="0"/>
              <w:right w:val="single" w:color="auto" w:sz="4" w:space="0"/>
            </w:tcBorders>
            <w:vAlign w:val="center"/>
          </w:tcPr>
          <w:p w14:paraId="2F63B787">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50</w:t>
            </w:r>
          </w:p>
        </w:tc>
        <w:tc>
          <w:tcPr>
            <w:tcW w:w="872" w:type="dxa"/>
            <w:tcBorders>
              <w:top w:val="nil"/>
              <w:left w:val="nil"/>
              <w:bottom w:val="single" w:color="auto" w:sz="4" w:space="0"/>
              <w:right w:val="single" w:color="auto" w:sz="4" w:space="0"/>
            </w:tcBorders>
            <w:vAlign w:val="center"/>
          </w:tcPr>
          <w:p w14:paraId="3F6D21AF">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50</w:t>
            </w:r>
          </w:p>
        </w:tc>
        <w:tc>
          <w:tcPr>
            <w:tcW w:w="1037" w:type="dxa"/>
            <w:tcBorders>
              <w:top w:val="nil"/>
              <w:left w:val="nil"/>
              <w:bottom w:val="single" w:color="auto" w:sz="4" w:space="0"/>
              <w:right w:val="single" w:color="auto" w:sz="4" w:space="0"/>
            </w:tcBorders>
            <w:vAlign w:val="center"/>
          </w:tcPr>
          <w:p w14:paraId="75A0894E">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50</w:t>
            </w:r>
          </w:p>
        </w:tc>
        <w:tc>
          <w:tcPr>
            <w:tcW w:w="536" w:type="dxa"/>
            <w:tcBorders>
              <w:top w:val="nil"/>
              <w:left w:val="nil"/>
              <w:bottom w:val="single" w:color="auto" w:sz="4" w:space="0"/>
              <w:right w:val="single" w:color="auto" w:sz="4" w:space="0"/>
            </w:tcBorders>
            <w:vAlign w:val="center"/>
          </w:tcPr>
          <w:p w14:paraId="0677FAF2">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85" w:type="dxa"/>
            <w:gridSpan w:val="2"/>
            <w:tcBorders>
              <w:top w:val="nil"/>
              <w:left w:val="nil"/>
              <w:bottom w:val="single" w:color="auto" w:sz="4" w:space="0"/>
              <w:right w:val="single" w:color="auto" w:sz="4" w:space="0"/>
            </w:tcBorders>
            <w:vAlign w:val="center"/>
          </w:tcPr>
          <w:p w14:paraId="60EFE073">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2052" w:type="dxa"/>
            <w:tcBorders>
              <w:top w:val="nil"/>
              <w:left w:val="nil"/>
              <w:bottom w:val="single" w:color="auto" w:sz="4" w:space="0"/>
              <w:right w:val="single" w:color="auto" w:sz="4" w:space="0"/>
            </w:tcBorders>
            <w:vAlign w:val="center"/>
          </w:tcPr>
          <w:p w14:paraId="0B026328">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65963F83">
        <w:tblPrEx>
          <w:tblCellMar>
            <w:top w:w="0" w:type="dxa"/>
            <w:left w:w="108" w:type="dxa"/>
            <w:bottom w:w="0" w:type="dxa"/>
            <w:right w:w="108" w:type="dxa"/>
          </w:tblCellMar>
        </w:tblPrEx>
        <w:trPr>
          <w:trHeight w:val="340" w:hRule="atLeast"/>
          <w:jc w:val="center"/>
        </w:trPr>
        <w:tc>
          <w:tcPr>
            <w:tcW w:w="1046" w:type="dxa"/>
            <w:vMerge w:val="continue"/>
            <w:tcBorders>
              <w:top w:val="nil"/>
              <w:left w:val="single" w:color="auto" w:sz="4" w:space="0"/>
              <w:bottom w:val="single" w:color="000000" w:sz="4" w:space="0"/>
              <w:right w:val="single" w:color="auto" w:sz="4" w:space="0"/>
            </w:tcBorders>
            <w:vAlign w:val="center"/>
          </w:tcPr>
          <w:p w14:paraId="6692F7D3">
            <w:pPr>
              <w:widowControl/>
              <w:spacing w:line="0" w:lineRule="atLeast"/>
              <w:jc w:val="left"/>
              <w:rPr>
                <w:rFonts w:eastAsia="仿宋_GB2312"/>
                <w:kern w:val="0"/>
                <w:szCs w:val="21"/>
              </w:rPr>
            </w:pPr>
          </w:p>
        </w:tc>
        <w:tc>
          <w:tcPr>
            <w:tcW w:w="1930" w:type="dxa"/>
            <w:gridSpan w:val="2"/>
            <w:tcBorders>
              <w:top w:val="nil"/>
              <w:left w:val="nil"/>
              <w:bottom w:val="single" w:color="auto" w:sz="4" w:space="0"/>
              <w:right w:val="single" w:color="auto" w:sz="4" w:space="0"/>
            </w:tcBorders>
            <w:vAlign w:val="center"/>
          </w:tcPr>
          <w:p w14:paraId="6A4B166F">
            <w:pPr>
              <w:widowControl/>
              <w:spacing w:line="0" w:lineRule="atLeast"/>
              <w:jc w:val="left"/>
              <w:rPr>
                <w:rFonts w:eastAsia="仿宋_GB2312"/>
                <w:kern w:val="0"/>
                <w:szCs w:val="21"/>
              </w:rPr>
            </w:pPr>
            <w:r>
              <w:rPr>
                <w:rFonts w:hint="eastAsia" w:eastAsia="仿宋_GB2312"/>
                <w:kern w:val="0"/>
                <w:szCs w:val="21"/>
              </w:rPr>
              <w:t>其中：当年财政拨款　</w:t>
            </w:r>
          </w:p>
        </w:tc>
        <w:tc>
          <w:tcPr>
            <w:tcW w:w="2073" w:type="dxa"/>
            <w:tcBorders>
              <w:top w:val="nil"/>
              <w:left w:val="nil"/>
              <w:bottom w:val="single" w:color="auto" w:sz="4" w:space="0"/>
              <w:right w:val="single" w:color="auto" w:sz="4" w:space="0"/>
            </w:tcBorders>
            <w:vAlign w:val="center"/>
          </w:tcPr>
          <w:p w14:paraId="0CFC89D9">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50</w:t>
            </w:r>
          </w:p>
        </w:tc>
        <w:tc>
          <w:tcPr>
            <w:tcW w:w="872" w:type="dxa"/>
            <w:tcBorders>
              <w:top w:val="nil"/>
              <w:left w:val="nil"/>
              <w:bottom w:val="single" w:color="auto" w:sz="4" w:space="0"/>
              <w:right w:val="single" w:color="auto" w:sz="4" w:space="0"/>
            </w:tcBorders>
            <w:vAlign w:val="center"/>
          </w:tcPr>
          <w:p w14:paraId="3819563C">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50</w:t>
            </w:r>
          </w:p>
        </w:tc>
        <w:tc>
          <w:tcPr>
            <w:tcW w:w="1037" w:type="dxa"/>
            <w:tcBorders>
              <w:top w:val="nil"/>
              <w:left w:val="nil"/>
              <w:bottom w:val="single" w:color="auto" w:sz="4" w:space="0"/>
              <w:right w:val="single" w:color="auto" w:sz="4" w:space="0"/>
            </w:tcBorders>
            <w:vAlign w:val="center"/>
          </w:tcPr>
          <w:p w14:paraId="495D71C9">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50</w:t>
            </w:r>
          </w:p>
        </w:tc>
        <w:tc>
          <w:tcPr>
            <w:tcW w:w="536" w:type="dxa"/>
            <w:tcBorders>
              <w:top w:val="nil"/>
              <w:left w:val="nil"/>
              <w:bottom w:val="single" w:color="auto" w:sz="4" w:space="0"/>
              <w:right w:val="single" w:color="auto" w:sz="4" w:space="0"/>
            </w:tcBorders>
            <w:vAlign w:val="center"/>
          </w:tcPr>
          <w:p w14:paraId="051821A9">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685" w:type="dxa"/>
            <w:gridSpan w:val="2"/>
            <w:tcBorders>
              <w:top w:val="nil"/>
              <w:left w:val="nil"/>
              <w:bottom w:val="single" w:color="auto" w:sz="4" w:space="0"/>
              <w:right w:val="single" w:color="auto" w:sz="4" w:space="0"/>
            </w:tcBorders>
            <w:vAlign w:val="center"/>
          </w:tcPr>
          <w:p w14:paraId="53464EC8">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2052" w:type="dxa"/>
            <w:tcBorders>
              <w:top w:val="nil"/>
              <w:left w:val="nil"/>
              <w:bottom w:val="single" w:color="auto" w:sz="4" w:space="0"/>
              <w:right w:val="single" w:color="auto" w:sz="4" w:space="0"/>
            </w:tcBorders>
            <w:vAlign w:val="center"/>
          </w:tcPr>
          <w:p w14:paraId="28D9C90F">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14:paraId="3373BD3B">
        <w:tblPrEx>
          <w:tblCellMar>
            <w:top w:w="0" w:type="dxa"/>
            <w:left w:w="108" w:type="dxa"/>
            <w:bottom w:w="0" w:type="dxa"/>
            <w:right w:w="108" w:type="dxa"/>
          </w:tblCellMar>
        </w:tblPrEx>
        <w:trPr>
          <w:trHeight w:val="340" w:hRule="atLeast"/>
          <w:jc w:val="center"/>
        </w:trPr>
        <w:tc>
          <w:tcPr>
            <w:tcW w:w="1046" w:type="dxa"/>
            <w:vMerge w:val="continue"/>
            <w:tcBorders>
              <w:top w:val="nil"/>
              <w:left w:val="single" w:color="auto" w:sz="4" w:space="0"/>
              <w:bottom w:val="single" w:color="000000" w:sz="4" w:space="0"/>
              <w:right w:val="single" w:color="auto" w:sz="4" w:space="0"/>
            </w:tcBorders>
            <w:vAlign w:val="center"/>
          </w:tcPr>
          <w:p w14:paraId="73EE6F65">
            <w:pPr>
              <w:widowControl/>
              <w:spacing w:line="0" w:lineRule="atLeast"/>
              <w:jc w:val="left"/>
              <w:rPr>
                <w:rFonts w:eastAsia="仿宋_GB2312"/>
                <w:kern w:val="0"/>
                <w:szCs w:val="21"/>
              </w:rPr>
            </w:pPr>
          </w:p>
        </w:tc>
        <w:tc>
          <w:tcPr>
            <w:tcW w:w="1930" w:type="dxa"/>
            <w:gridSpan w:val="2"/>
            <w:tcBorders>
              <w:top w:val="nil"/>
              <w:left w:val="nil"/>
              <w:bottom w:val="single" w:color="auto" w:sz="4" w:space="0"/>
              <w:right w:val="single" w:color="auto" w:sz="4" w:space="0"/>
            </w:tcBorders>
            <w:vAlign w:val="center"/>
          </w:tcPr>
          <w:p w14:paraId="6A29702D">
            <w:pPr>
              <w:widowControl/>
              <w:spacing w:line="0" w:lineRule="atLeast"/>
              <w:jc w:val="left"/>
              <w:rPr>
                <w:rFonts w:eastAsia="仿宋_GB2312"/>
                <w:kern w:val="0"/>
                <w:szCs w:val="21"/>
              </w:rPr>
            </w:pPr>
            <w:r>
              <w:rPr>
                <w:rFonts w:hint="eastAsia" w:eastAsia="仿宋_GB2312"/>
                <w:kern w:val="0"/>
                <w:szCs w:val="21"/>
              </w:rPr>
              <w:t>上年结转资金　</w:t>
            </w:r>
          </w:p>
        </w:tc>
        <w:tc>
          <w:tcPr>
            <w:tcW w:w="2073" w:type="dxa"/>
            <w:tcBorders>
              <w:top w:val="nil"/>
              <w:left w:val="nil"/>
              <w:bottom w:val="single" w:color="auto" w:sz="4" w:space="0"/>
              <w:right w:val="single" w:color="auto" w:sz="4" w:space="0"/>
            </w:tcBorders>
            <w:vAlign w:val="center"/>
          </w:tcPr>
          <w:p w14:paraId="4685CFCC">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872" w:type="dxa"/>
            <w:tcBorders>
              <w:top w:val="nil"/>
              <w:left w:val="nil"/>
              <w:bottom w:val="single" w:color="auto" w:sz="4" w:space="0"/>
              <w:right w:val="single" w:color="auto" w:sz="4" w:space="0"/>
            </w:tcBorders>
            <w:vAlign w:val="center"/>
          </w:tcPr>
          <w:p w14:paraId="24F2FEE6">
            <w:pPr>
              <w:widowControl/>
              <w:spacing w:line="0" w:lineRule="atLeast"/>
              <w:jc w:val="left"/>
              <w:rPr>
                <w:rFonts w:eastAsia="仿宋_GB2312"/>
                <w:kern w:val="0"/>
                <w:szCs w:val="21"/>
              </w:rPr>
            </w:pPr>
            <w:r>
              <w:rPr>
                <w:rFonts w:hint="eastAsia" w:eastAsia="仿宋_GB2312"/>
                <w:kern w:val="0"/>
                <w:szCs w:val="21"/>
              </w:rPr>
              <w:t>　</w:t>
            </w:r>
          </w:p>
        </w:tc>
        <w:tc>
          <w:tcPr>
            <w:tcW w:w="1037" w:type="dxa"/>
            <w:tcBorders>
              <w:top w:val="nil"/>
              <w:left w:val="nil"/>
              <w:bottom w:val="single" w:color="auto" w:sz="4" w:space="0"/>
              <w:right w:val="single" w:color="auto" w:sz="4" w:space="0"/>
            </w:tcBorders>
            <w:vAlign w:val="center"/>
          </w:tcPr>
          <w:p w14:paraId="3558EA3A">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2BAA9286">
            <w:pPr>
              <w:widowControl/>
              <w:spacing w:line="0" w:lineRule="atLeast"/>
              <w:jc w:val="left"/>
              <w:rPr>
                <w:rFonts w:eastAsia="仿宋_GB2312"/>
                <w:kern w:val="0"/>
                <w:szCs w:val="21"/>
              </w:rPr>
            </w:pPr>
            <w:r>
              <w:rPr>
                <w:rFonts w:hint="eastAsia" w:eastAsia="仿宋_GB2312"/>
                <w:kern w:val="0"/>
                <w:szCs w:val="21"/>
              </w:rPr>
              <w:t>　</w:t>
            </w:r>
          </w:p>
        </w:tc>
        <w:tc>
          <w:tcPr>
            <w:tcW w:w="685" w:type="dxa"/>
            <w:gridSpan w:val="2"/>
            <w:tcBorders>
              <w:top w:val="nil"/>
              <w:left w:val="nil"/>
              <w:bottom w:val="single" w:color="auto" w:sz="4" w:space="0"/>
              <w:right w:val="single" w:color="auto" w:sz="4" w:space="0"/>
            </w:tcBorders>
            <w:vAlign w:val="center"/>
          </w:tcPr>
          <w:p w14:paraId="56115A79">
            <w:pPr>
              <w:widowControl/>
              <w:spacing w:line="0" w:lineRule="atLeast"/>
              <w:jc w:val="center"/>
              <w:rPr>
                <w:rFonts w:eastAsia="仿宋_GB2312"/>
                <w:kern w:val="0"/>
                <w:szCs w:val="21"/>
              </w:rPr>
            </w:pPr>
          </w:p>
        </w:tc>
        <w:tc>
          <w:tcPr>
            <w:tcW w:w="2052" w:type="dxa"/>
            <w:tcBorders>
              <w:top w:val="nil"/>
              <w:left w:val="nil"/>
              <w:bottom w:val="single" w:color="auto" w:sz="4" w:space="0"/>
              <w:right w:val="single" w:color="auto" w:sz="4" w:space="0"/>
            </w:tcBorders>
            <w:vAlign w:val="center"/>
          </w:tcPr>
          <w:p w14:paraId="7C94B6D1">
            <w:pPr>
              <w:widowControl/>
              <w:spacing w:line="0" w:lineRule="atLeast"/>
              <w:jc w:val="left"/>
              <w:rPr>
                <w:rFonts w:eastAsia="仿宋_GB2312"/>
                <w:kern w:val="0"/>
                <w:szCs w:val="21"/>
              </w:rPr>
            </w:pPr>
            <w:r>
              <w:rPr>
                <w:rFonts w:hint="eastAsia" w:eastAsia="仿宋_GB2312"/>
                <w:kern w:val="0"/>
                <w:szCs w:val="21"/>
              </w:rPr>
              <w:t>　</w:t>
            </w:r>
          </w:p>
        </w:tc>
      </w:tr>
      <w:tr w14:paraId="2978BE70">
        <w:tblPrEx>
          <w:tblCellMar>
            <w:top w:w="0" w:type="dxa"/>
            <w:left w:w="108" w:type="dxa"/>
            <w:bottom w:w="0" w:type="dxa"/>
            <w:right w:w="108" w:type="dxa"/>
          </w:tblCellMar>
        </w:tblPrEx>
        <w:trPr>
          <w:trHeight w:val="340" w:hRule="atLeast"/>
          <w:jc w:val="center"/>
        </w:trPr>
        <w:tc>
          <w:tcPr>
            <w:tcW w:w="1046" w:type="dxa"/>
            <w:vMerge w:val="continue"/>
            <w:tcBorders>
              <w:top w:val="nil"/>
              <w:left w:val="single" w:color="auto" w:sz="4" w:space="0"/>
              <w:bottom w:val="single" w:color="000000" w:sz="4" w:space="0"/>
              <w:right w:val="single" w:color="auto" w:sz="4" w:space="0"/>
            </w:tcBorders>
            <w:vAlign w:val="center"/>
          </w:tcPr>
          <w:p w14:paraId="1F8B1E08">
            <w:pPr>
              <w:widowControl/>
              <w:spacing w:line="0" w:lineRule="atLeast"/>
              <w:jc w:val="left"/>
              <w:rPr>
                <w:rFonts w:eastAsia="仿宋_GB2312"/>
                <w:kern w:val="0"/>
                <w:szCs w:val="21"/>
              </w:rPr>
            </w:pPr>
          </w:p>
        </w:tc>
        <w:tc>
          <w:tcPr>
            <w:tcW w:w="1930" w:type="dxa"/>
            <w:gridSpan w:val="2"/>
            <w:tcBorders>
              <w:top w:val="nil"/>
              <w:left w:val="nil"/>
              <w:bottom w:val="single" w:color="auto" w:sz="4" w:space="0"/>
              <w:right w:val="single" w:color="auto" w:sz="4" w:space="0"/>
            </w:tcBorders>
            <w:vAlign w:val="center"/>
          </w:tcPr>
          <w:p w14:paraId="3B7EA20D">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2073" w:type="dxa"/>
            <w:tcBorders>
              <w:top w:val="nil"/>
              <w:left w:val="nil"/>
              <w:bottom w:val="single" w:color="auto" w:sz="4" w:space="0"/>
              <w:right w:val="single" w:color="auto" w:sz="4" w:space="0"/>
            </w:tcBorders>
            <w:vAlign w:val="center"/>
          </w:tcPr>
          <w:p w14:paraId="5D6ABA39">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872" w:type="dxa"/>
            <w:tcBorders>
              <w:top w:val="nil"/>
              <w:left w:val="nil"/>
              <w:bottom w:val="single" w:color="auto" w:sz="4" w:space="0"/>
              <w:right w:val="single" w:color="auto" w:sz="4" w:space="0"/>
            </w:tcBorders>
            <w:vAlign w:val="center"/>
          </w:tcPr>
          <w:p w14:paraId="7B7BA688">
            <w:pPr>
              <w:widowControl/>
              <w:spacing w:line="0" w:lineRule="atLeast"/>
              <w:jc w:val="left"/>
              <w:rPr>
                <w:rFonts w:eastAsia="仿宋_GB2312"/>
                <w:kern w:val="0"/>
                <w:szCs w:val="21"/>
              </w:rPr>
            </w:pPr>
            <w:r>
              <w:rPr>
                <w:rFonts w:hint="eastAsia" w:eastAsia="仿宋_GB2312"/>
                <w:kern w:val="0"/>
                <w:szCs w:val="21"/>
              </w:rPr>
              <w:t>　</w:t>
            </w:r>
          </w:p>
        </w:tc>
        <w:tc>
          <w:tcPr>
            <w:tcW w:w="1037" w:type="dxa"/>
            <w:tcBorders>
              <w:top w:val="nil"/>
              <w:left w:val="nil"/>
              <w:bottom w:val="single" w:color="auto" w:sz="4" w:space="0"/>
              <w:right w:val="single" w:color="auto" w:sz="4" w:space="0"/>
            </w:tcBorders>
            <w:vAlign w:val="center"/>
          </w:tcPr>
          <w:p w14:paraId="008E89E9">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0E3274CC">
            <w:pPr>
              <w:widowControl/>
              <w:spacing w:line="0" w:lineRule="atLeast"/>
              <w:jc w:val="left"/>
              <w:rPr>
                <w:rFonts w:eastAsia="仿宋_GB2312"/>
                <w:kern w:val="0"/>
                <w:szCs w:val="21"/>
              </w:rPr>
            </w:pPr>
            <w:r>
              <w:rPr>
                <w:rFonts w:hint="eastAsia" w:eastAsia="仿宋_GB2312"/>
                <w:kern w:val="0"/>
                <w:szCs w:val="21"/>
              </w:rPr>
              <w:t>　</w:t>
            </w:r>
          </w:p>
        </w:tc>
        <w:tc>
          <w:tcPr>
            <w:tcW w:w="685" w:type="dxa"/>
            <w:gridSpan w:val="2"/>
            <w:tcBorders>
              <w:top w:val="nil"/>
              <w:left w:val="nil"/>
              <w:bottom w:val="single" w:color="auto" w:sz="4" w:space="0"/>
              <w:right w:val="single" w:color="auto" w:sz="4" w:space="0"/>
            </w:tcBorders>
            <w:vAlign w:val="center"/>
          </w:tcPr>
          <w:p w14:paraId="4E9F9A36">
            <w:pPr>
              <w:widowControl/>
              <w:spacing w:line="0" w:lineRule="atLeast"/>
              <w:jc w:val="left"/>
              <w:rPr>
                <w:rFonts w:eastAsia="仿宋_GB2312"/>
                <w:kern w:val="0"/>
                <w:szCs w:val="21"/>
              </w:rPr>
            </w:pPr>
            <w:r>
              <w:rPr>
                <w:rFonts w:hint="eastAsia" w:eastAsia="仿宋_GB2312"/>
                <w:kern w:val="0"/>
                <w:szCs w:val="21"/>
              </w:rPr>
              <w:t>　</w:t>
            </w:r>
          </w:p>
        </w:tc>
        <w:tc>
          <w:tcPr>
            <w:tcW w:w="2052" w:type="dxa"/>
            <w:tcBorders>
              <w:top w:val="nil"/>
              <w:left w:val="nil"/>
              <w:bottom w:val="single" w:color="auto" w:sz="4" w:space="0"/>
              <w:right w:val="single" w:color="auto" w:sz="4" w:space="0"/>
            </w:tcBorders>
            <w:vAlign w:val="center"/>
          </w:tcPr>
          <w:p w14:paraId="59077C9C">
            <w:pPr>
              <w:widowControl/>
              <w:spacing w:line="0" w:lineRule="atLeast"/>
              <w:jc w:val="left"/>
              <w:rPr>
                <w:rFonts w:eastAsia="仿宋_GB2312"/>
                <w:kern w:val="0"/>
                <w:szCs w:val="21"/>
              </w:rPr>
            </w:pPr>
            <w:r>
              <w:rPr>
                <w:rFonts w:hint="eastAsia" w:eastAsia="仿宋_GB2312"/>
                <w:kern w:val="0"/>
                <w:szCs w:val="21"/>
              </w:rPr>
              <w:t>　</w:t>
            </w:r>
          </w:p>
        </w:tc>
      </w:tr>
      <w:tr w14:paraId="744A7F20">
        <w:tblPrEx>
          <w:tblCellMar>
            <w:top w:w="0" w:type="dxa"/>
            <w:left w:w="108" w:type="dxa"/>
            <w:bottom w:w="0" w:type="dxa"/>
            <w:right w:w="108" w:type="dxa"/>
          </w:tblCellMar>
        </w:tblPrEx>
        <w:trPr>
          <w:trHeight w:val="340" w:hRule="atLeast"/>
          <w:jc w:val="center"/>
        </w:trPr>
        <w:tc>
          <w:tcPr>
            <w:tcW w:w="1046" w:type="dxa"/>
            <w:vMerge w:val="restart"/>
            <w:tcBorders>
              <w:top w:val="nil"/>
              <w:left w:val="single" w:color="auto" w:sz="4" w:space="0"/>
              <w:bottom w:val="single" w:color="auto" w:sz="4" w:space="0"/>
              <w:right w:val="single" w:color="auto" w:sz="4" w:space="0"/>
            </w:tcBorders>
            <w:vAlign w:val="center"/>
          </w:tcPr>
          <w:p w14:paraId="7D6687F8">
            <w:pPr>
              <w:widowControl/>
              <w:spacing w:line="0" w:lineRule="atLeast"/>
              <w:jc w:val="center"/>
              <w:rPr>
                <w:rFonts w:eastAsia="仿宋_GB2312"/>
                <w:kern w:val="0"/>
                <w:szCs w:val="21"/>
              </w:rPr>
            </w:pPr>
            <w:r>
              <w:rPr>
                <w:rFonts w:hint="eastAsia" w:eastAsia="仿宋_GB2312"/>
                <w:kern w:val="0"/>
                <w:szCs w:val="21"/>
              </w:rPr>
              <w:t>年度总</w:t>
            </w:r>
          </w:p>
          <w:p w14:paraId="658517FA">
            <w:pPr>
              <w:widowControl/>
              <w:spacing w:line="0" w:lineRule="atLeast"/>
              <w:jc w:val="center"/>
              <w:rPr>
                <w:rFonts w:eastAsia="仿宋_GB2312"/>
                <w:kern w:val="0"/>
                <w:szCs w:val="21"/>
              </w:rPr>
            </w:pPr>
            <w:r>
              <w:rPr>
                <w:rFonts w:hint="eastAsia" w:eastAsia="仿宋_GB2312"/>
                <w:kern w:val="0"/>
                <w:szCs w:val="21"/>
              </w:rPr>
              <w:t>体目标</w:t>
            </w:r>
          </w:p>
        </w:tc>
        <w:tc>
          <w:tcPr>
            <w:tcW w:w="4875" w:type="dxa"/>
            <w:gridSpan w:val="4"/>
            <w:tcBorders>
              <w:top w:val="single" w:color="auto" w:sz="4" w:space="0"/>
              <w:left w:val="nil"/>
              <w:bottom w:val="single" w:color="auto" w:sz="4" w:space="0"/>
              <w:right w:val="single" w:color="000000" w:sz="4" w:space="0"/>
            </w:tcBorders>
            <w:vAlign w:val="center"/>
          </w:tcPr>
          <w:p w14:paraId="0A5E9E34">
            <w:pPr>
              <w:widowControl/>
              <w:spacing w:line="0" w:lineRule="atLeast"/>
              <w:jc w:val="center"/>
              <w:rPr>
                <w:rFonts w:eastAsia="仿宋_GB2312"/>
                <w:kern w:val="0"/>
                <w:szCs w:val="21"/>
              </w:rPr>
            </w:pPr>
            <w:r>
              <w:rPr>
                <w:rFonts w:hint="eastAsia" w:eastAsia="仿宋_GB2312"/>
                <w:kern w:val="0"/>
                <w:szCs w:val="21"/>
              </w:rPr>
              <w:t>预期目标</w:t>
            </w:r>
          </w:p>
        </w:tc>
        <w:tc>
          <w:tcPr>
            <w:tcW w:w="4310" w:type="dxa"/>
            <w:gridSpan w:val="5"/>
            <w:tcBorders>
              <w:top w:val="single" w:color="auto" w:sz="4" w:space="0"/>
              <w:left w:val="nil"/>
              <w:bottom w:val="single" w:color="auto" w:sz="4" w:space="0"/>
              <w:right w:val="single" w:color="auto" w:sz="4" w:space="0"/>
            </w:tcBorders>
            <w:vAlign w:val="center"/>
          </w:tcPr>
          <w:p w14:paraId="38E3C1A1">
            <w:pPr>
              <w:widowControl/>
              <w:spacing w:line="0" w:lineRule="atLeast"/>
              <w:jc w:val="center"/>
              <w:rPr>
                <w:rFonts w:eastAsia="仿宋_GB2312"/>
                <w:kern w:val="0"/>
                <w:szCs w:val="21"/>
              </w:rPr>
            </w:pPr>
            <w:r>
              <w:rPr>
                <w:rFonts w:hint="eastAsia" w:eastAsia="仿宋_GB2312"/>
                <w:kern w:val="0"/>
                <w:szCs w:val="21"/>
              </w:rPr>
              <w:t>实际完成情况　</w:t>
            </w:r>
          </w:p>
        </w:tc>
      </w:tr>
      <w:tr w14:paraId="5BAF5160">
        <w:tblPrEx>
          <w:tblCellMar>
            <w:top w:w="0" w:type="dxa"/>
            <w:left w:w="108" w:type="dxa"/>
            <w:bottom w:w="0" w:type="dxa"/>
            <w:right w:w="108" w:type="dxa"/>
          </w:tblCellMar>
        </w:tblPrEx>
        <w:trPr>
          <w:trHeight w:val="715" w:hRule="atLeast"/>
          <w:jc w:val="center"/>
        </w:trPr>
        <w:tc>
          <w:tcPr>
            <w:tcW w:w="1046" w:type="dxa"/>
            <w:vMerge w:val="continue"/>
            <w:tcBorders>
              <w:top w:val="nil"/>
              <w:left w:val="single" w:color="auto" w:sz="4" w:space="0"/>
              <w:bottom w:val="single" w:color="auto" w:sz="4" w:space="0"/>
              <w:right w:val="single" w:color="auto" w:sz="4" w:space="0"/>
            </w:tcBorders>
            <w:vAlign w:val="center"/>
          </w:tcPr>
          <w:p w14:paraId="1A1D31FD">
            <w:pPr>
              <w:widowControl/>
              <w:spacing w:line="0" w:lineRule="atLeast"/>
              <w:jc w:val="left"/>
              <w:rPr>
                <w:rFonts w:eastAsia="仿宋_GB2312"/>
                <w:kern w:val="0"/>
                <w:szCs w:val="21"/>
              </w:rPr>
            </w:pPr>
          </w:p>
        </w:tc>
        <w:tc>
          <w:tcPr>
            <w:tcW w:w="4875" w:type="dxa"/>
            <w:gridSpan w:val="4"/>
            <w:tcBorders>
              <w:top w:val="single" w:color="auto" w:sz="4" w:space="0"/>
              <w:left w:val="nil"/>
              <w:bottom w:val="single" w:color="auto" w:sz="4" w:space="0"/>
              <w:right w:val="single" w:color="000000" w:sz="4" w:space="0"/>
            </w:tcBorders>
            <w:vAlign w:val="center"/>
          </w:tcPr>
          <w:p w14:paraId="57EA9045">
            <w:pPr>
              <w:widowControl/>
              <w:numPr>
                <w:ilvl w:val="0"/>
                <w:numId w:val="4"/>
              </w:numPr>
              <w:spacing w:line="0" w:lineRule="atLeast"/>
              <w:ind w:left="1890" w:leftChars="0" w:firstLineChars="0"/>
              <w:jc w:val="left"/>
              <w:rPr>
                <w:rFonts w:hint="eastAsia" w:eastAsia="仿宋_GB2312"/>
                <w:kern w:val="0"/>
                <w:szCs w:val="21"/>
                <w:lang w:val="en-US" w:eastAsia="zh-CN"/>
              </w:rPr>
            </w:pPr>
            <w:r>
              <w:rPr>
                <w:rFonts w:hint="eastAsia" w:eastAsia="仿宋_GB2312"/>
                <w:kern w:val="0"/>
                <w:szCs w:val="21"/>
                <w:lang w:val="en-US" w:eastAsia="zh-CN"/>
              </w:rPr>
              <w:t>完成档案信息化20万页；</w:t>
            </w:r>
          </w:p>
          <w:p w14:paraId="1684EE6C">
            <w:pPr>
              <w:widowControl/>
              <w:numPr>
                <w:ilvl w:val="0"/>
                <w:numId w:val="4"/>
              </w:numPr>
              <w:spacing w:line="0" w:lineRule="atLeast"/>
              <w:ind w:left="1890" w:leftChars="0" w:firstLineChars="0"/>
              <w:jc w:val="left"/>
              <w:rPr>
                <w:rFonts w:eastAsia="仿宋_GB2312"/>
                <w:kern w:val="0"/>
                <w:szCs w:val="21"/>
              </w:rPr>
            </w:pPr>
            <w:r>
              <w:rPr>
                <w:rFonts w:hint="eastAsia" w:eastAsia="仿宋_GB2312"/>
                <w:kern w:val="0"/>
                <w:szCs w:val="21"/>
                <w:lang w:val="en-US" w:eastAsia="zh-CN"/>
              </w:rPr>
              <w:t>接收进馆档案3万卷册</w:t>
            </w:r>
            <w:r>
              <w:rPr>
                <w:rFonts w:hint="eastAsia" w:eastAsia="仿宋_GB2312"/>
                <w:kern w:val="0"/>
                <w:szCs w:val="21"/>
              </w:rPr>
              <w:t>　</w:t>
            </w:r>
          </w:p>
        </w:tc>
        <w:tc>
          <w:tcPr>
            <w:tcW w:w="4310" w:type="dxa"/>
            <w:gridSpan w:val="5"/>
            <w:tcBorders>
              <w:top w:val="single" w:color="auto" w:sz="4" w:space="0"/>
              <w:left w:val="nil"/>
              <w:bottom w:val="single" w:color="auto" w:sz="4" w:space="0"/>
              <w:right w:val="single" w:color="auto" w:sz="4" w:space="0"/>
            </w:tcBorders>
            <w:vAlign w:val="center"/>
          </w:tcPr>
          <w:p w14:paraId="033A608C">
            <w:pPr>
              <w:widowControl/>
              <w:numPr>
                <w:ilvl w:val="0"/>
                <w:numId w:val="0"/>
              </w:numPr>
              <w:spacing w:line="0" w:lineRule="atLeast"/>
              <w:jc w:val="left"/>
              <w:rPr>
                <w:rFonts w:hint="eastAsia" w:eastAsia="仿宋_GB2312"/>
                <w:kern w:val="0"/>
                <w:szCs w:val="21"/>
                <w:lang w:val="en-US" w:eastAsia="zh-CN"/>
              </w:rPr>
            </w:pPr>
            <w:r>
              <w:rPr>
                <w:rFonts w:hint="eastAsia" w:eastAsia="仿宋_GB2312"/>
                <w:kern w:val="0"/>
                <w:szCs w:val="21"/>
                <w:lang w:val="en-US" w:eastAsia="zh-CN"/>
              </w:rPr>
              <w:t>1.</w:t>
            </w:r>
            <w:r>
              <w:rPr>
                <w:rFonts w:hint="eastAsia" w:eastAsia="仿宋_GB2312"/>
                <w:kern w:val="0"/>
                <w:szCs w:val="21"/>
              </w:rPr>
              <w:t>　</w:t>
            </w:r>
            <w:r>
              <w:rPr>
                <w:rFonts w:hint="eastAsia" w:eastAsia="仿宋_GB2312"/>
                <w:kern w:val="0"/>
                <w:szCs w:val="21"/>
                <w:lang w:val="en-US" w:eastAsia="zh-CN"/>
              </w:rPr>
              <w:t>完成档案信息化20万页；</w:t>
            </w:r>
          </w:p>
          <w:p w14:paraId="02218066">
            <w:pPr>
              <w:widowControl/>
              <w:spacing w:line="0" w:lineRule="atLeast"/>
              <w:jc w:val="left"/>
              <w:rPr>
                <w:rFonts w:eastAsia="仿宋_GB2312"/>
                <w:kern w:val="0"/>
                <w:szCs w:val="21"/>
              </w:rPr>
            </w:pPr>
            <w:r>
              <w:rPr>
                <w:rFonts w:hint="eastAsia" w:eastAsia="仿宋_GB2312"/>
                <w:kern w:val="0"/>
                <w:szCs w:val="21"/>
                <w:lang w:val="en-US" w:eastAsia="zh-CN"/>
              </w:rPr>
              <w:t>2.接收进馆档案3万卷册</w:t>
            </w:r>
            <w:r>
              <w:rPr>
                <w:rFonts w:hint="eastAsia" w:eastAsia="仿宋_GB2312"/>
                <w:kern w:val="0"/>
                <w:szCs w:val="21"/>
              </w:rPr>
              <w:t>　</w:t>
            </w:r>
          </w:p>
        </w:tc>
      </w:tr>
      <w:tr w14:paraId="1B562AE1">
        <w:tblPrEx>
          <w:tblCellMar>
            <w:top w:w="0" w:type="dxa"/>
            <w:left w:w="108" w:type="dxa"/>
            <w:bottom w:w="0" w:type="dxa"/>
            <w:right w:w="108" w:type="dxa"/>
          </w:tblCellMar>
        </w:tblPrEx>
        <w:trPr>
          <w:trHeight w:val="377" w:hRule="atLeast"/>
          <w:jc w:val="center"/>
        </w:trPr>
        <w:tc>
          <w:tcPr>
            <w:tcW w:w="1046" w:type="dxa"/>
            <w:vMerge w:val="restart"/>
            <w:tcBorders>
              <w:top w:val="single" w:color="auto" w:sz="4" w:space="0"/>
              <w:left w:val="single" w:color="auto" w:sz="4" w:space="0"/>
              <w:bottom w:val="single" w:color="auto" w:sz="4" w:space="0"/>
              <w:right w:val="single" w:color="auto" w:sz="4" w:space="0"/>
            </w:tcBorders>
            <w:vAlign w:val="center"/>
          </w:tcPr>
          <w:p w14:paraId="4FE8EC50">
            <w:pPr>
              <w:widowControl/>
              <w:spacing w:line="0" w:lineRule="atLeast"/>
              <w:jc w:val="center"/>
              <w:rPr>
                <w:rFonts w:eastAsia="仿宋_GB2312"/>
                <w:kern w:val="0"/>
                <w:szCs w:val="21"/>
              </w:rPr>
            </w:pPr>
            <w:r>
              <w:rPr>
                <w:rFonts w:hint="eastAsia" w:eastAsia="仿宋_GB2312"/>
                <w:kern w:val="0"/>
                <w:szCs w:val="21"/>
              </w:rPr>
              <w:t>绩</w:t>
            </w:r>
          </w:p>
          <w:p w14:paraId="1DB65A49">
            <w:pPr>
              <w:widowControl/>
              <w:spacing w:line="0" w:lineRule="atLeast"/>
              <w:jc w:val="center"/>
              <w:rPr>
                <w:rFonts w:eastAsia="仿宋_GB2312"/>
                <w:kern w:val="0"/>
                <w:szCs w:val="21"/>
              </w:rPr>
            </w:pPr>
            <w:r>
              <w:rPr>
                <w:rFonts w:hint="eastAsia" w:eastAsia="仿宋_GB2312"/>
                <w:kern w:val="0"/>
                <w:szCs w:val="21"/>
              </w:rPr>
              <w:t>效</w:t>
            </w:r>
          </w:p>
          <w:p w14:paraId="4352B18F">
            <w:pPr>
              <w:widowControl/>
              <w:spacing w:line="0" w:lineRule="atLeast"/>
              <w:jc w:val="center"/>
              <w:rPr>
                <w:rFonts w:eastAsia="仿宋_GB2312"/>
                <w:kern w:val="0"/>
                <w:szCs w:val="21"/>
              </w:rPr>
            </w:pPr>
            <w:r>
              <w:rPr>
                <w:rFonts w:hint="eastAsia" w:eastAsia="仿宋_GB2312"/>
                <w:kern w:val="0"/>
                <w:szCs w:val="21"/>
              </w:rPr>
              <w:t>指</w:t>
            </w:r>
          </w:p>
          <w:p w14:paraId="7F982A6D">
            <w:pPr>
              <w:widowControl/>
              <w:spacing w:line="0" w:lineRule="atLeast"/>
              <w:jc w:val="center"/>
              <w:rPr>
                <w:rFonts w:eastAsia="仿宋_GB2312"/>
                <w:kern w:val="0"/>
                <w:szCs w:val="21"/>
              </w:rPr>
            </w:pPr>
            <w:r>
              <w:rPr>
                <w:rFonts w:hint="eastAsia" w:eastAsia="仿宋_GB2312"/>
                <w:kern w:val="0"/>
                <w:szCs w:val="21"/>
              </w:rPr>
              <w:t>标</w:t>
            </w:r>
          </w:p>
        </w:tc>
        <w:tc>
          <w:tcPr>
            <w:tcW w:w="777" w:type="dxa"/>
            <w:tcBorders>
              <w:top w:val="single" w:color="auto" w:sz="4" w:space="0"/>
              <w:left w:val="nil"/>
              <w:bottom w:val="single" w:color="auto" w:sz="4" w:space="0"/>
              <w:right w:val="single" w:color="auto" w:sz="4" w:space="0"/>
            </w:tcBorders>
            <w:vAlign w:val="center"/>
          </w:tcPr>
          <w:p w14:paraId="29600680">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53" w:type="dxa"/>
            <w:tcBorders>
              <w:top w:val="single" w:color="auto" w:sz="4" w:space="0"/>
              <w:left w:val="nil"/>
              <w:bottom w:val="single" w:color="auto" w:sz="4" w:space="0"/>
              <w:right w:val="single" w:color="auto" w:sz="4" w:space="0"/>
            </w:tcBorders>
            <w:vAlign w:val="center"/>
          </w:tcPr>
          <w:p w14:paraId="207EF741">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2073" w:type="dxa"/>
            <w:tcBorders>
              <w:top w:val="single" w:color="auto" w:sz="4" w:space="0"/>
              <w:left w:val="nil"/>
              <w:bottom w:val="single" w:color="auto" w:sz="4" w:space="0"/>
              <w:right w:val="single" w:color="auto" w:sz="4" w:space="0"/>
            </w:tcBorders>
            <w:vAlign w:val="center"/>
          </w:tcPr>
          <w:p w14:paraId="1EA72023">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872" w:type="dxa"/>
            <w:tcBorders>
              <w:top w:val="single" w:color="auto" w:sz="4" w:space="0"/>
              <w:left w:val="nil"/>
              <w:bottom w:val="single" w:color="auto" w:sz="4" w:space="0"/>
              <w:right w:val="single" w:color="auto" w:sz="4" w:space="0"/>
            </w:tcBorders>
            <w:vAlign w:val="center"/>
          </w:tcPr>
          <w:p w14:paraId="0BDECBBB">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7" w:type="dxa"/>
            <w:tcBorders>
              <w:top w:val="single" w:color="auto" w:sz="4" w:space="0"/>
              <w:left w:val="nil"/>
              <w:bottom w:val="single" w:color="auto" w:sz="4" w:space="0"/>
              <w:right w:val="single" w:color="auto" w:sz="4" w:space="0"/>
            </w:tcBorders>
            <w:vAlign w:val="center"/>
          </w:tcPr>
          <w:p w14:paraId="222B4343">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14:paraId="4C7ADCDE">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14:paraId="7CC7BADB">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2308" w:type="dxa"/>
            <w:gridSpan w:val="2"/>
            <w:tcBorders>
              <w:top w:val="single" w:color="auto" w:sz="4" w:space="0"/>
              <w:left w:val="nil"/>
              <w:bottom w:val="single" w:color="auto" w:sz="4" w:space="0"/>
              <w:right w:val="single" w:color="auto" w:sz="4" w:space="0"/>
            </w:tcBorders>
            <w:vAlign w:val="center"/>
          </w:tcPr>
          <w:p w14:paraId="26F92D50">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455FB75F">
        <w:tblPrEx>
          <w:tblCellMar>
            <w:top w:w="0" w:type="dxa"/>
            <w:left w:w="108" w:type="dxa"/>
            <w:bottom w:w="0" w:type="dxa"/>
            <w:right w:w="108" w:type="dxa"/>
          </w:tblCellMar>
        </w:tblPrEx>
        <w:trPr>
          <w:trHeight w:val="340"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14:paraId="6228EE49">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14:paraId="18D6355C">
            <w:pPr>
              <w:widowControl/>
              <w:spacing w:line="0" w:lineRule="atLeast"/>
              <w:jc w:val="center"/>
              <w:rPr>
                <w:rFonts w:eastAsia="仿宋_GB2312"/>
                <w:kern w:val="0"/>
                <w:szCs w:val="21"/>
              </w:rPr>
            </w:pPr>
            <w:r>
              <w:rPr>
                <w:rFonts w:hint="eastAsia" w:eastAsia="仿宋_GB2312"/>
                <w:kern w:val="0"/>
                <w:szCs w:val="21"/>
              </w:rPr>
              <w:t>产出</w:t>
            </w:r>
          </w:p>
          <w:p w14:paraId="3C75FCBD">
            <w:pPr>
              <w:widowControl/>
              <w:spacing w:line="0" w:lineRule="atLeast"/>
              <w:jc w:val="center"/>
              <w:rPr>
                <w:rFonts w:eastAsia="仿宋_GB2312"/>
                <w:kern w:val="0"/>
                <w:szCs w:val="21"/>
              </w:rPr>
            </w:pPr>
            <w:r>
              <w:rPr>
                <w:rFonts w:hint="eastAsia" w:eastAsia="仿宋_GB2312"/>
                <w:kern w:val="0"/>
                <w:szCs w:val="21"/>
              </w:rPr>
              <w:t>指标</w:t>
            </w:r>
          </w:p>
          <w:p w14:paraId="57F49836">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53" w:type="dxa"/>
            <w:vMerge w:val="restart"/>
            <w:tcBorders>
              <w:top w:val="single" w:color="auto" w:sz="4" w:space="0"/>
              <w:left w:val="nil"/>
              <w:bottom w:val="single" w:color="auto" w:sz="4" w:space="0"/>
              <w:right w:val="single" w:color="auto" w:sz="4" w:space="0"/>
            </w:tcBorders>
            <w:vAlign w:val="center"/>
          </w:tcPr>
          <w:p w14:paraId="764FB658">
            <w:pPr>
              <w:widowControl/>
              <w:spacing w:line="0" w:lineRule="atLeast"/>
              <w:jc w:val="center"/>
              <w:rPr>
                <w:rFonts w:eastAsia="仿宋_GB2312"/>
                <w:kern w:val="0"/>
                <w:szCs w:val="21"/>
              </w:rPr>
            </w:pPr>
            <w:r>
              <w:rPr>
                <w:rFonts w:hint="eastAsia" w:eastAsia="仿宋_GB2312"/>
                <w:kern w:val="0"/>
                <w:szCs w:val="21"/>
              </w:rPr>
              <w:t>数量指标</w:t>
            </w:r>
          </w:p>
        </w:tc>
        <w:tc>
          <w:tcPr>
            <w:tcW w:w="2073" w:type="dxa"/>
            <w:tcBorders>
              <w:top w:val="single" w:color="auto" w:sz="4" w:space="0"/>
              <w:left w:val="nil"/>
              <w:bottom w:val="single" w:color="auto" w:sz="4" w:space="0"/>
              <w:right w:val="single" w:color="auto" w:sz="4" w:space="0"/>
            </w:tcBorders>
            <w:shd w:val="clear" w:color="auto" w:fill="auto"/>
            <w:vAlign w:val="center"/>
          </w:tcPr>
          <w:p w14:paraId="2AAE911D">
            <w:pPr>
              <w:widowControl/>
              <w:jc w:val="left"/>
              <w:rPr>
                <w:rFonts w:hint="eastAsia" w:ascii="仿宋_GB2312" w:hAnsi="Calibri" w:eastAsia="仿宋_GB2312" w:cs="Times New Roman"/>
                <w:kern w:val="0"/>
                <w:sz w:val="18"/>
                <w:szCs w:val="18"/>
                <w:lang w:val="en-US" w:eastAsia="zh-CN" w:bidi="ar-SA"/>
              </w:rPr>
            </w:pPr>
            <w:r>
              <w:rPr>
                <w:rFonts w:hint="eastAsia" w:ascii="仿宋_GB2312" w:eastAsia="仿宋_GB2312"/>
                <w:kern w:val="0"/>
                <w:sz w:val="18"/>
                <w:szCs w:val="18"/>
              </w:rPr>
              <w:t>　</w:t>
            </w:r>
            <w:r>
              <w:rPr>
                <w:rFonts w:hint="eastAsia" w:ascii="仿宋_GB2312" w:eastAsia="仿宋_GB2312"/>
                <w:kern w:val="0"/>
                <w:sz w:val="18"/>
                <w:szCs w:val="18"/>
                <w:lang w:val="en-US" w:eastAsia="zh-CN"/>
              </w:rPr>
              <w:t>42万卷（册）</w:t>
            </w:r>
            <w:r>
              <w:rPr>
                <w:rFonts w:hint="eastAsia" w:ascii="仿宋_GB2312" w:eastAsia="仿宋_GB2312"/>
                <w:kern w:val="0"/>
                <w:sz w:val="18"/>
                <w:szCs w:val="18"/>
                <w:lang w:eastAsia="zh-CN"/>
              </w:rPr>
              <w:t>馆藏档案资料保管保护控制率</w:t>
            </w:r>
          </w:p>
        </w:tc>
        <w:tc>
          <w:tcPr>
            <w:tcW w:w="872" w:type="dxa"/>
            <w:tcBorders>
              <w:top w:val="single" w:color="auto" w:sz="4" w:space="0"/>
              <w:left w:val="nil"/>
              <w:bottom w:val="single" w:color="auto" w:sz="4" w:space="0"/>
              <w:right w:val="single" w:color="auto" w:sz="4" w:space="0"/>
            </w:tcBorders>
            <w:shd w:val="clear" w:color="auto" w:fill="auto"/>
            <w:vAlign w:val="center"/>
          </w:tcPr>
          <w:p w14:paraId="2C3D2CCF">
            <w:pPr>
              <w:widowControl/>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rPr>
              <w:t>　</w:t>
            </w:r>
            <w:r>
              <w:rPr>
                <w:rFonts w:hint="eastAsia" w:ascii="仿宋_GB2312" w:eastAsia="仿宋_GB2312"/>
                <w:kern w:val="0"/>
                <w:szCs w:val="21"/>
                <w:lang w:val="en-US" w:eastAsia="zh-CN"/>
              </w:rPr>
              <w:t>100%</w:t>
            </w:r>
          </w:p>
        </w:tc>
        <w:tc>
          <w:tcPr>
            <w:tcW w:w="1037" w:type="dxa"/>
            <w:tcBorders>
              <w:top w:val="single" w:color="auto" w:sz="4" w:space="0"/>
              <w:left w:val="nil"/>
              <w:bottom w:val="single" w:color="auto" w:sz="4" w:space="0"/>
              <w:right w:val="single" w:color="auto" w:sz="4" w:space="0"/>
            </w:tcBorders>
            <w:shd w:val="clear" w:color="auto" w:fill="auto"/>
            <w:vAlign w:val="top"/>
          </w:tcPr>
          <w:p w14:paraId="60CB2CAE">
            <w:pPr>
              <w:widowControl/>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14:paraId="47007378">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14:paraId="0481FE69">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2308" w:type="dxa"/>
            <w:gridSpan w:val="2"/>
            <w:tcBorders>
              <w:top w:val="single" w:color="auto" w:sz="4" w:space="0"/>
              <w:left w:val="nil"/>
              <w:bottom w:val="single" w:color="auto" w:sz="4" w:space="0"/>
              <w:right w:val="single" w:color="auto" w:sz="4" w:space="0"/>
            </w:tcBorders>
            <w:vAlign w:val="center"/>
          </w:tcPr>
          <w:p w14:paraId="781F34BA">
            <w:pPr>
              <w:widowControl/>
              <w:spacing w:line="0" w:lineRule="atLeast"/>
              <w:jc w:val="left"/>
              <w:rPr>
                <w:rFonts w:eastAsia="仿宋_GB2312"/>
                <w:kern w:val="0"/>
                <w:szCs w:val="21"/>
              </w:rPr>
            </w:pPr>
            <w:r>
              <w:rPr>
                <w:rFonts w:hint="eastAsia" w:eastAsia="仿宋_GB2312"/>
                <w:kern w:val="0"/>
                <w:szCs w:val="21"/>
              </w:rPr>
              <w:t>　</w:t>
            </w:r>
          </w:p>
        </w:tc>
      </w:tr>
      <w:tr w14:paraId="29BEDF4E">
        <w:tblPrEx>
          <w:tblCellMar>
            <w:top w:w="0" w:type="dxa"/>
            <w:left w:w="108" w:type="dxa"/>
            <w:bottom w:w="0" w:type="dxa"/>
            <w:right w:w="108" w:type="dxa"/>
          </w:tblCellMar>
        </w:tblPrEx>
        <w:trPr>
          <w:trHeight w:val="340"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14:paraId="17D06B9D">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14:paraId="3DE7A102">
            <w:pPr>
              <w:widowControl/>
              <w:spacing w:line="0" w:lineRule="atLeast"/>
              <w:jc w:val="left"/>
              <w:rPr>
                <w:rFonts w:eastAsia="仿宋_GB2312"/>
                <w:kern w:val="0"/>
                <w:szCs w:val="21"/>
              </w:rPr>
            </w:pPr>
          </w:p>
        </w:tc>
        <w:tc>
          <w:tcPr>
            <w:tcW w:w="1153" w:type="dxa"/>
            <w:vMerge w:val="continue"/>
            <w:tcBorders>
              <w:top w:val="single" w:color="auto" w:sz="4" w:space="0"/>
              <w:left w:val="nil"/>
              <w:bottom w:val="single" w:color="auto" w:sz="4" w:space="0"/>
              <w:right w:val="single" w:color="auto" w:sz="4" w:space="0"/>
            </w:tcBorders>
            <w:vAlign w:val="center"/>
          </w:tcPr>
          <w:p w14:paraId="490C6698">
            <w:pPr>
              <w:widowControl/>
              <w:spacing w:line="0" w:lineRule="atLeast"/>
              <w:jc w:val="left"/>
              <w:rPr>
                <w:rFonts w:eastAsia="仿宋_GB2312"/>
                <w:kern w:val="0"/>
                <w:szCs w:val="21"/>
              </w:rPr>
            </w:pPr>
          </w:p>
        </w:tc>
        <w:tc>
          <w:tcPr>
            <w:tcW w:w="2073" w:type="dxa"/>
            <w:tcBorders>
              <w:top w:val="single" w:color="auto" w:sz="4" w:space="0"/>
              <w:left w:val="nil"/>
              <w:bottom w:val="single" w:color="auto" w:sz="4" w:space="0"/>
              <w:right w:val="single" w:color="auto" w:sz="4" w:space="0"/>
            </w:tcBorders>
            <w:vAlign w:val="center"/>
          </w:tcPr>
          <w:p w14:paraId="7FA69A58">
            <w:pPr>
              <w:widowControl/>
              <w:jc w:val="center"/>
              <w:rPr>
                <w:rFonts w:eastAsia="仿宋_GB2312"/>
                <w:kern w:val="0"/>
                <w:szCs w:val="21"/>
              </w:rPr>
            </w:pPr>
            <w:r>
              <w:rPr>
                <w:rFonts w:hint="eastAsia" w:ascii="仿宋_GB2312" w:hAnsi="Times New Roman" w:eastAsia="仿宋_GB2312" w:cs="Times New Roman"/>
                <w:kern w:val="0"/>
                <w:sz w:val="18"/>
                <w:szCs w:val="18"/>
                <w:lang w:eastAsia="zh-CN"/>
              </w:rPr>
              <w:t>档案利用率</w:t>
            </w:r>
          </w:p>
        </w:tc>
        <w:tc>
          <w:tcPr>
            <w:tcW w:w="872" w:type="dxa"/>
            <w:tcBorders>
              <w:top w:val="single" w:color="auto" w:sz="4" w:space="0"/>
              <w:left w:val="nil"/>
              <w:bottom w:val="single" w:color="auto" w:sz="4" w:space="0"/>
              <w:right w:val="single" w:color="auto" w:sz="4" w:space="0"/>
            </w:tcBorders>
            <w:shd w:val="clear" w:color="auto" w:fill="auto"/>
            <w:vAlign w:val="center"/>
          </w:tcPr>
          <w:p w14:paraId="4AF355A9">
            <w:pPr>
              <w:widowControl/>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037" w:type="dxa"/>
            <w:tcBorders>
              <w:top w:val="single" w:color="auto" w:sz="4" w:space="0"/>
              <w:left w:val="nil"/>
              <w:bottom w:val="single" w:color="auto" w:sz="4" w:space="0"/>
              <w:right w:val="single" w:color="auto" w:sz="4" w:space="0"/>
            </w:tcBorders>
            <w:shd w:val="clear" w:color="auto" w:fill="auto"/>
            <w:vAlign w:val="center"/>
          </w:tcPr>
          <w:p w14:paraId="52CB828B">
            <w:pPr>
              <w:widowControl/>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14:paraId="73BE78E0">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14:paraId="7A7C9BC9">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2308" w:type="dxa"/>
            <w:gridSpan w:val="2"/>
            <w:tcBorders>
              <w:top w:val="single" w:color="auto" w:sz="4" w:space="0"/>
              <w:left w:val="nil"/>
              <w:bottom w:val="single" w:color="auto" w:sz="4" w:space="0"/>
              <w:right w:val="single" w:color="auto" w:sz="4" w:space="0"/>
            </w:tcBorders>
            <w:vAlign w:val="center"/>
          </w:tcPr>
          <w:p w14:paraId="2A666A5C">
            <w:pPr>
              <w:widowControl/>
              <w:spacing w:line="0" w:lineRule="atLeast"/>
              <w:jc w:val="left"/>
              <w:rPr>
                <w:rFonts w:eastAsia="仿宋_GB2312"/>
                <w:kern w:val="0"/>
                <w:szCs w:val="21"/>
              </w:rPr>
            </w:pPr>
            <w:r>
              <w:rPr>
                <w:rFonts w:hint="eastAsia" w:eastAsia="仿宋_GB2312"/>
                <w:kern w:val="0"/>
                <w:szCs w:val="21"/>
              </w:rPr>
              <w:t>　</w:t>
            </w:r>
          </w:p>
        </w:tc>
      </w:tr>
      <w:tr w14:paraId="218CFE95">
        <w:tblPrEx>
          <w:tblCellMar>
            <w:top w:w="0" w:type="dxa"/>
            <w:left w:w="108" w:type="dxa"/>
            <w:bottom w:w="0" w:type="dxa"/>
            <w:right w:w="108" w:type="dxa"/>
          </w:tblCellMar>
        </w:tblPrEx>
        <w:trPr>
          <w:trHeight w:val="340"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14:paraId="05EA74BC">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14:paraId="1A0C84D4">
            <w:pPr>
              <w:widowControl/>
              <w:spacing w:line="0" w:lineRule="atLeast"/>
              <w:jc w:val="left"/>
              <w:rPr>
                <w:rFonts w:eastAsia="仿宋_GB2312"/>
                <w:kern w:val="0"/>
                <w:szCs w:val="21"/>
              </w:rPr>
            </w:pPr>
          </w:p>
        </w:tc>
        <w:tc>
          <w:tcPr>
            <w:tcW w:w="1153" w:type="dxa"/>
            <w:tcBorders>
              <w:top w:val="single" w:color="auto" w:sz="4" w:space="0"/>
              <w:left w:val="nil"/>
              <w:bottom w:val="single" w:color="auto" w:sz="4" w:space="0"/>
              <w:right w:val="single" w:color="auto" w:sz="4" w:space="0"/>
            </w:tcBorders>
            <w:vAlign w:val="center"/>
          </w:tcPr>
          <w:p w14:paraId="2C3A7F55">
            <w:pPr>
              <w:widowControl/>
              <w:spacing w:line="0" w:lineRule="atLeast"/>
              <w:jc w:val="center"/>
              <w:rPr>
                <w:rFonts w:eastAsia="仿宋_GB2312"/>
                <w:kern w:val="0"/>
                <w:szCs w:val="21"/>
              </w:rPr>
            </w:pPr>
            <w:r>
              <w:rPr>
                <w:rFonts w:hint="eastAsia" w:eastAsia="仿宋_GB2312"/>
                <w:kern w:val="0"/>
                <w:szCs w:val="21"/>
              </w:rPr>
              <w:t>质量指标</w:t>
            </w:r>
          </w:p>
        </w:tc>
        <w:tc>
          <w:tcPr>
            <w:tcW w:w="2073" w:type="dxa"/>
            <w:tcBorders>
              <w:top w:val="single" w:color="auto" w:sz="4" w:space="0"/>
              <w:left w:val="nil"/>
              <w:bottom w:val="single" w:color="auto" w:sz="4" w:space="0"/>
              <w:right w:val="single" w:color="auto" w:sz="4" w:space="0"/>
            </w:tcBorders>
            <w:shd w:val="clear" w:color="auto" w:fill="auto"/>
            <w:vAlign w:val="center"/>
          </w:tcPr>
          <w:p w14:paraId="3744E40D">
            <w:pPr>
              <w:widowControl/>
              <w:jc w:val="center"/>
              <w:rPr>
                <w:rFonts w:hint="eastAsia" w:ascii="仿宋_GB2312" w:hAnsi="Calibri" w:eastAsia="仿宋_GB2312" w:cs="Times New Roman"/>
                <w:b/>
                <w:bCs/>
                <w:kern w:val="0"/>
                <w:sz w:val="21"/>
                <w:szCs w:val="21"/>
                <w:lang w:val="en-US" w:eastAsia="zh-CN" w:bidi="ar-SA"/>
              </w:rPr>
            </w:pPr>
            <w:r>
              <w:rPr>
                <w:rFonts w:hint="eastAsia" w:ascii="仿宋_GB2312" w:hAnsi="Times New Roman" w:eastAsia="仿宋_GB2312" w:cs="Times New Roman"/>
                <w:kern w:val="0"/>
                <w:szCs w:val="21"/>
                <w:lang w:eastAsia="zh-CN"/>
              </w:rPr>
              <w:t>档案数字化合格率</w:t>
            </w:r>
          </w:p>
        </w:tc>
        <w:tc>
          <w:tcPr>
            <w:tcW w:w="872" w:type="dxa"/>
            <w:tcBorders>
              <w:top w:val="single" w:color="auto" w:sz="4" w:space="0"/>
              <w:left w:val="nil"/>
              <w:bottom w:val="single" w:color="auto" w:sz="4" w:space="0"/>
              <w:right w:val="single" w:color="auto" w:sz="4" w:space="0"/>
            </w:tcBorders>
            <w:shd w:val="clear" w:color="auto" w:fill="auto"/>
            <w:vAlign w:val="center"/>
          </w:tcPr>
          <w:p w14:paraId="1CFBD917">
            <w:pPr>
              <w:widowControl/>
              <w:jc w:val="center"/>
              <w:rPr>
                <w:rFonts w:hint="default" w:ascii="仿宋_GB2312" w:hAnsi="Calibri" w:eastAsia="仿宋_GB2312" w:cs="Times New Roman"/>
                <w:kern w:val="0"/>
                <w:sz w:val="21"/>
                <w:szCs w:val="21"/>
                <w:lang w:val="en-US" w:eastAsia="zh-CN" w:bidi="ar-SA"/>
              </w:rPr>
            </w:pPr>
            <w:r>
              <w:rPr>
                <w:rFonts w:hint="eastAsia" w:ascii="宋体" w:hAnsi="宋体" w:eastAsia="宋体" w:cs="宋体"/>
                <w:kern w:val="0"/>
                <w:szCs w:val="21"/>
                <w:lang w:val="en-US" w:eastAsia="zh-CN"/>
              </w:rPr>
              <w:t>≧</w:t>
            </w:r>
            <w:r>
              <w:rPr>
                <w:rFonts w:hint="eastAsia" w:ascii="仿宋_GB2312" w:eastAsia="仿宋_GB2312"/>
                <w:kern w:val="0"/>
                <w:szCs w:val="21"/>
                <w:lang w:val="en-US" w:eastAsia="zh-CN"/>
              </w:rPr>
              <w:t>98%</w:t>
            </w:r>
          </w:p>
        </w:tc>
        <w:tc>
          <w:tcPr>
            <w:tcW w:w="1037" w:type="dxa"/>
            <w:tcBorders>
              <w:top w:val="single" w:color="auto" w:sz="4" w:space="0"/>
              <w:left w:val="nil"/>
              <w:bottom w:val="single" w:color="auto" w:sz="4" w:space="0"/>
              <w:right w:val="single" w:color="auto" w:sz="4" w:space="0"/>
            </w:tcBorders>
            <w:shd w:val="clear" w:color="auto" w:fill="auto"/>
            <w:vAlign w:val="top"/>
          </w:tcPr>
          <w:p w14:paraId="77F97D48">
            <w:pPr>
              <w:widowControl/>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14:paraId="6FDDD00C">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14:paraId="202FB396">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2308" w:type="dxa"/>
            <w:gridSpan w:val="2"/>
            <w:tcBorders>
              <w:top w:val="single" w:color="auto" w:sz="4" w:space="0"/>
              <w:left w:val="nil"/>
              <w:bottom w:val="single" w:color="auto" w:sz="4" w:space="0"/>
              <w:right w:val="single" w:color="auto" w:sz="4" w:space="0"/>
            </w:tcBorders>
            <w:vAlign w:val="center"/>
          </w:tcPr>
          <w:p w14:paraId="65420DB6">
            <w:pPr>
              <w:widowControl/>
              <w:spacing w:line="0" w:lineRule="atLeast"/>
              <w:jc w:val="left"/>
              <w:rPr>
                <w:rFonts w:eastAsia="仿宋_GB2312"/>
                <w:kern w:val="0"/>
                <w:szCs w:val="21"/>
              </w:rPr>
            </w:pPr>
            <w:r>
              <w:rPr>
                <w:rFonts w:hint="eastAsia" w:eastAsia="仿宋_GB2312"/>
                <w:kern w:val="0"/>
                <w:szCs w:val="21"/>
              </w:rPr>
              <w:t>　</w:t>
            </w:r>
          </w:p>
        </w:tc>
      </w:tr>
      <w:tr w14:paraId="7DBE46BC">
        <w:tblPrEx>
          <w:tblCellMar>
            <w:top w:w="0" w:type="dxa"/>
            <w:left w:w="108" w:type="dxa"/>
            <w:bottom w:w="0" w:type="dxa"/>
            <w:right w:w="108" w:type="dxa"/>
          </w:tblCellMar>
        </w:tblPrEx>
        <w:trPr>
          <w:trHeight w:val="340"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14:paraId="08202E69">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14:paraId="580D182B">
            <w:pPr>
              <w:widowControl/>
              <w:spacing w:line="0" w:lineRule="atLeast"/>
              <w:jc w:val="left"/>
              <w:rPr>
                <w:rFonts w:eastAsia="仿宋_GB2312"/>
                <w:kern w:val="0"/>
                <w:szCs w:val="21"/>
              </w:rPr>
            </w:pPr>
          </w:p>
        </w:tc>
        <w:tc>
          <w:tcPr>
            <w:tcW w:w="1153" w:type="dxa"/>
            <w:tcBorders>
              <w:top w:val="single" w:color="auto" w:sz="4" w:space="0"/>
              <w:left w:val="nil"/>
              <w:bottom w:val="single" w:color="auto" w:sz="4" w:space="0"/>
              <w:right w:val="single" w:color="auto" w:sz="4" w:space="0"/>
            </w:tcBorders>
            <w:vAlign w:val="center"/>
          </w:tcPr>
          <w:p w14:paraId="327C33E9">
            <w:pPr>
              <w:widowControl/>
              <w:spacing w:line="0" w:lineRule="atLeast"/>
              <w:jc w:val="center"/>
              <w:rPr>
                <w:rFonts w:eastAsia="仿宋_GB2312"/>
                <w:kern w:val="0"/>
                <w:szCs w:val="21"/>
              </w:rPr>
            </w:pPr>
            <w:r>
              <w:rPr>
                <w:rFonts w:hint="eastAsia" w:eastAsia="仿宋_GB2312"/>
                <w:kern w:val="0"/>
                <w:szCs w:val="21"/>
              </w:rPr>
              <w:t>时效指标</w:t>
            </w:r>
          </w:p>
        </w:tc>
        <w:tc>
          <w:tcPr>
            <w:tcW w:w="2073" w:type="dxa"/>
            <w:tcBorders>
              <w:top w:val="single" w:color="auto" w:sz="4" w:space="0"/>
              <w:left w:val="nil"/>
              <w:bottom w:val="single" w:color="auto" w:sz="4" w:space="0"/>
              <w:right w:val="single" w:color="auto" w:sz="4" w:space="0"/>
            </w:tcBorders>
            <w:shd w:val="clear" w:color="auto" w:fill="auto"/>
            <w:vAlign w:val="center"/>
          </w:tcPr>
          <w:p w14:paraId="3F577C95">
            <w:pPr>
              <w:widowControl/>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资金支付进度</w:t>
            </w:r>
          </w:p>
        </w:tc>
        <w:tc>
          <w:tcPr>
            <w:tcW w:w="872" w:type="dxa"/>
            <w:tcBorders>
              <w:top w:val="single" w:color="auto" w:sz="4" w:space="0"/>
              <w:left w:val="nil"/>
              <w:bottom w:val="single" w:color="auto" w:sz="4" w:space="0"/>
              <w:right w:val="single" w:color="auto" w:sz="4" w:space="0"/>
            </w:tcBorders>
            <w:shd w:val="clear" w:color="auto" w:fill="auto"/>
            <w:vAlign w:val="center"/>
          </w:tcPr>
          <w:p w14:paraId="56F185B3">
            <w:pPr>
              <w:widowControl/>
              <w:jc w:val="center"/>
              <w:rPr>
                <w:rFonts w:hint="eastAsia" w:ascii="仿宋_GB2312" w:hAnsi="Calibri" w:eastAsia="仿宋_GB2312" w:cs="Times New Roman"/>
                <w:kern w:val="0"/>
                <w:sz w:val="18"/>
                <w:szCs w:val="18"/>
                <w:lang w:val="en-US" w:eastAsia="zh-CN" w:bidi="ar-SA"/>
              </w:rPr>
            </w:pPr>
            <w:r>
              <w:rPr>
                <w:rFonts w:hint="eastAsia" w:ascii="仿宋_GB2312" w:eastAsia="仿宋_GB2312"/>
                <w:kern w:val="0"/>
                <w:sz w:val="18"/>
                <w:szCs w:val="18"/>
              </w:rPr>
              <w:t>　</w:t>
            </w:r>
            <w:r>
              <w:rPr>
                <w:rFonts w:hint="eastAsia" w:ascii="仿宋_GB2312" w:eastAsia="仿宋_GB2312"/>
                <w:kern w:val="0"/>
                <w:sz w:val="18"/>
                <w:szCs w:val="18"/>
                <w:lang w:val="en-US" w:eastAsia="zh-CN"/>
              </w:rPr>
              <w:t>2023年底前</w:t>
            </w:r>
          </w:p>
        </w:tc>
        <w:tc>
          <w:tcPr>
            <w:tcW w:w="1037" w:type="dxa"/>
            <w:tcBorders>
              <w:top w:val="single" w:color="auto" w:sz="4" w:space="0"/>
              <w:left w:val="nil"/>
              <w:bottom w:val="single" w:color="auto" w:sz="4" w:space="0"/>
              <w:right w:val="single" w:color="auto" w:sz="4" w:space="0"/>
            </w:tcBorders>
            <w:shd w:val="clear" w:color="auto" w:fill="auto"/>
            <w:vAlign w:val="top"/>
          </w:tcPr>
          <w:p w14:paraId="2A26F0F7">
            <w:pPr>
              <w:widowControl/>
              <w:jc w:val="center"/>
              <w:rPr>
                <w:rFonts w:ascii="仿宋_GB2312" w:hAnsi="Calibri" w:eastAsia="仿宋_GB2312" w:cs="Times New Roman"/>
                <w:kern w:val="0"/>
                <w:sz w:val="18"/>
                <w:szCs w:val="18"/>
                <w:lang w:val="en-US" w:eastAsia="zh-CN" w:bidi="ar-SA"/>
              </w:rPr>
            </w:pPr>
            <w:r>
              <w:rPr>
                <w:rFonts w:hint="eastAsia" w:ascii="仿宋_GB2312" w:eastAsia="仿宋_GB2312"/>
                <w:kern w:val="0"/>
                <w:sz w:val="18"/>
                <w:szCs w:val="18"/>
              </w:rPr>
              <w:t>　</w:t>
            </w:r>
            <w:r>
              <w:rPr>
                <w:rFonts w:hint="eastAsia" w:ascii="仿宋_GB2312" w:eastAsia="仿宋_GB2312"/>
                <w:kern w:val="0"/>
                <w:sz w:val="18"/>
                <w:szCs w:val="18"/>
                <w:lang w:val="en-US" w:eastAsia="zh-CN"/>
              </w:rPr>
              <w:t>2023年底前</w:t>
            </w:r>
          </w:p>
        </w:tc>
        <w:tc>
          <w:tcPr>
            <w:tcW w:w="536" w:type="dxa"/>
            <w:tcBorders>
              <w:top w:val="single" w:color="auto" w:sz="4" w:space="0"/>
              <w:left w:val="nil"/>
              <w:bottom w:val="single" w:color="auto" w:sz="4" w:space="0"/>
              <w:right w:val="single" w:color="auto" w:sz="4" w:space="0"/>
            </w:tcBorders>
            <w:vAlign w:val="center"/>
          </w:tcPr>
          <w:p w14:paraId="5E47B4A2">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14:paraId="17536007">
            <w:pPr>
              <w:widowControl/>
              <w:spacing w:line="0" w:lineRule="atLeast"/>
              <w:jc w:val="left"/>
              <w:rPr>
                <w:rFonts w:eastAsia="仿宋_GB2312"/>
                <w:kern w:val="0"/>
                <w:szCs w:val="21"/>
              </w:rPr>
            </w:pPr>
            <w:r>
              <w:rPr>
                <w:rFonts w:hint="eastAsia" w:eastAsia="仿宋_GB2312"/>
                <w:kern w:val="0"/>
                <w:szCs w:val="21"/>
                <w:lang w:val="en-US" w:eastAsia="zh-CN"/>
              </w:rPr>
              <w:t>9</w:t>
            </w:r>
            <w:r>
              <w:rPr>
                <w:rFonts w:hint="eastAsia" w:eastAsia="仿宋_GB2312"/>
                <w:kern w:val="0"/>
                <w:szCs w:val="21"/>
              </w:rPr>
              <w:t>　</w:t>
            </w:r>
          </w:p>
        </w:tc>
        <w:tc>
          <w:tcPr>
            <w:tcW w:w="2308" w:type="dxa"/>
            <w:gridSpan w:val="2"/>
            <w:tcBorders>
              <w:top w:val="single" w:color="auto" w:sz="4" w:space="0"/>
              <w:left w:val="nil"/>
              <w:bottom w:val="single" w:color="auto" w:sz="4" w:space="0"/>
              <w:right w:val="single" w:color="auto" w:sz="4" w:space="0"/>
            </w:tcBorders>
            <w:vAlign w:val="center"/>
          </w:tcPr>
          <w:p w14:paraId="0478E9AA">
            <w:pPr>
              <w:widowControl/>
              <w:spacing w:line="0" w:lineRule="atLeast"/>
              <w:jc w:val="left"/>
              <w:rPr>
                <w:rFonts w:hint="default" w:eastAsia="仿宋_GB2312"/>
                <w:kern w:val="0"/>
                <w:szCs w:val="21"/>
                <w:lang w:val="en-US" w:eastAsia="zh-CN"/>
              </w:rPr>
            </w:pPr>
            <w:r>
              <w:rPr>
                <w:rFonts w:hint="eastAsia" w:eastAsia="仿宋_GB2312"/>
                <w:kern w:val="0"/>
                <w:sz w:val="18"/>
                <w:szCs w:val="18"/>
                <w:lang w:val="en-US" w:eastAsia="zh-CN"/>
              </w:rPr>
              <w:t>财政资金紧张，未能按时支付。下一步尽可能提前支付。</w:t>
            </w:r>
          </w:p>
        </w:tc>
      </w:tr>
      <w:tr w14:paraId="2113ABA0">
        <w:tblPrEx>
          <w:tblCellMar>
            <w:top w:w="0" w:type="dxa"/>
            <w:left w:w="108" w:type="dxa"/>
            <w:bottom w:w="0" w:type="dxa"/>
            <w:right w:w="108" w:type="dxa"/>
          </w:tblCellMar>
        </w:tblPrEx>
        <w:trPr>
          <w:trHeight w:val="340"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14:paraId="34B24BCF">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14:paraId="26F4BAE0">
            <w:pPr>
              <w:widowControl/>
              <w:spacing w:line="0" w:lineRule="atLeast"/>
              <w:jc w:val="left"/>
              <w:rPr>
                <w:rFonts w:eastAsia="仿宋_GB2312"/>
                <w:kern w:val="0"/>
                <w:szCs w:val="21"/>
              </w:rPr>
            </w:pPr>
          </w:p>
        </w:tc>
        <w:tc>
          <w:tcPr>
            <w:tcW w:w="1153" w:type="dxa"/>
            <w:tcBorders>
              <w:top w:val="single" w:color="auto" w:sz="4" w:space="0"/>
              <w:left w:val="nil"/>
              <w:bottom w:val="single" w:color="auto" w:sz="4" w:space="0"/>
              <w:right w:val="single" w:color="auto" w:sz="4" w:space="0"/>
            </w:tcBorders>
            <w:vAlign w:val="center"/>
          </w:tcPr>
          <w:p w14:paraId="2FDC2631">
            <w:pPr>
              <w:widowControl/>
              <w:spacing w:line="0" w:lineRule="atLeast"/>
              <w:jc w:val="center"/>
              <w:rPr>
                <w:rFonts w:eastAsia="仿宋_GB2312"/>
                <w:kern w:val="0"/>
                <w:szCs w:val="21"/>
              </w:rPr>
            </w:pPr>
            <w:r>
              <w:rPr>
                <w:rFonts w:hint="eastAsia" w:eastAsia="仿宋_GB2312"/>
                <w:kern w:val="0"/>
                <w:szCs w:val="21"/>
              </w:rPr>
              <w:t>成本指标</w:t>
            </w:r>
          </w:p>
        </w:tc>
        <w:tc>
          <w:tcPr>
            <w:tcW w:w="2073" w:type="dxa"/>
            <w:tcBorders>
              <w:top w:val="single" w:color="auto" w:sz="4" w:space="0"/>
              <w:left w:val="nil"/>
              <w:bottom w:val="single" w:color="auto" w:sz="4" w:space="0"/>
              <w:right w:val="single" w:color="auto" w:sz="4" w:space="0"/>
            </w:tcBorders>
            <w:shd w:val="clear" w:color="auto" w:fill="auto"/>
            <w:vAlign w:val="center"/>
          </w:tcPr>
          <w:p w14:paraId="3C8F4530">
            <w:pPr>
              <w:widowControl/>
              <w:jc w:val="center"/>
              <w:rPr>
                <w:rFonts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预算指标执行率</w:t>
            </w:r>
            <w:r>
              <w:rPr>
                <w:rFonts w:hint="eastAsia" w:ascii="仿宋_GB2312" w:eastAsia="仿宋_GB2312"/>
                <w:kern w:val="0"/>
                <w:szCs w:val="21"/>
              </w:rPr>
              <w:t>　</w:t>
            </w:r>
          </w:p>
        </w:tc>
        <w:tc>
          <w:tcPr>
            <w:tcW w:w="872" w:type="dxa"/>
            <w:tcBorders>
              <w:top w:val="single" w:color="auto" w:sz="4" w:space="0"/>
              <w:left w:val="nil"/>
              <w:bottom w:val="single" w:color="auto" w:sz="4" w:space="0"/>
              <w:right w:val="single" w:color="auto" w:sz="4" w:space="0"/>
            </w:tcBorders>
            <w:shd w:val="clear" w:color="auto" w:fill="auto"/>
            <w:vAlign w:val="center"/>
          </w:tcPr>
          <w:p w14:paraId="22D7DC6E">
            <w:pPr>
              <w:widowControl/>
              <w:jc w:val="center"/>
              <w:rPr>
                <w:rFonts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r>
              <w:rPr>
                <w:rFonts w:hint="eastAsia" w:ascii="仿宋_GB2312" w:eastAsia="仿宋_GB2312"/>
                <w:kern w:val="0"/>
                <w:szCs w:val="21"/>
              </w:rPr>
              <w:t>　</w:t>
            </w:r>
          </w:p>
        </w:tc>
        <w:tc>
          <w:tcPr>
            <w:tcW w:w="1037" w:type="dxa"/>
            <w:tcBorders>
              <w:top w:val="single" w:color="auto" w:sz="4" w:space="0"/>
              <w:left w:val="nil"/>
              <w:bottom w:val="single" w:color="auto" w:sz="4" w:space="0"/>
              <w:right w:val="single" w:color="auto" w:sz="4" w:space="0"/>
            </w:tcBorders>
            <w:shd w:val="clear" w:color="auto" w:fill="auto"/>
            <w:vAlign w:val="top"/>
          </w:tcPr>
          <w:p w14:paraId="1CBDEDAE">
            <w:pPr>
              <w:widowControl/>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14:paraId="5B1040F1">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14:paraId="75FDD900">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2308" w:type="dxa"/>
            <w:gridSpan w:val="2"/>
            <w:tcBorders>
              <w:top w:val="single" w:color="auto" w:sz="4" w:space="0"/>
              <w:left w:val="nil"/>
              <w:bottom w:val="single" w:color="auto" w:sz="4" w:space="0"/>
              <w:right w:val="single" w:color="auto" w:sz="4" w:space="0"/>
            </w:tcBorders>
            <w:vAlign w:val="center"/>
          </w:tcPr>
          <w:p w14:paraId="78DED989">
            <w:pPr>
              <w:widowControl/>
              <w:spacing w:line="0" w:lineRule="atLeast"/>
              <w:jc w:val="left"/>
              <w:rPr>
                <w:rFonts w:eastAsia="仿宋_GB2312"/>
                <w:kern w:val="0"/>
                <w:szCs w:val="21"/>
              </w:rPr>
            </w:pPr>
            <w:r>
              <w:rPr>
                <w:rFonts w:hint="eastAsia" w:eastAsia="仿宋_GB2312"/>
                <w:kern w:val="0"/>
                <w:szCs w:val="21"/>
              </w:rPr>
              <w:t>　</w:t>
            </w:r>
          </w:p>
        </w:tc>
      </w:tr>
      <w:tr w14:paraId="2F55D505">
        <w:tblPrEx>
          <w:tblCellMar>
            <w:top w:w="0" w:type="dxa"/>
            <w:left w:w="108" w:type="dxa"/>
            <w:bottom w:w="0" w:type="dxa"/>
            <w:right w:w="108" w:type="dxa"/>
          </w:tblCellMar>
        </w:tblPrEx>
        <w:trPr>
          <w:trHeight w:val="340"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14:paraId="60F10C5E">
            <w:pPr>
              <w:widowControl/>
              <w:spacing w:line="0" w:lineRule="atLeast"/>
              <w:jc w:val="left"/>
              <w:rPr>
                <w:rFonts w:eastAsia="仿宋_GB2312"/>
                <w:kern w:val="0"/>
                <w:szCs w:val="21"/>
              </w:rPr>
            </w:pPr>
          </w:p>
        </w:tc>
        <w:tc>
          <w:tcPr>
            <w:tcW w:w="777" w:type="dxa"/>
            <w:vMerge w:val="restart"/>
            <w:tcBorders>
              <w:top w:val="single" w:color="auto" w:sz="4" w:space="0"/>
              <w:left w:val="nil"/>
              <w:bottom w:val="single" w:color="auto" w:sz="4" w:space="0"/>
              <w:right w:val="single" w:color="auto" w:sz="4" w:space="0"/>
            </w:tcBorders>
            <w:vAlign w:val="center"/>
          </w:tcPr>
          <w:p w14:paraId="767DD2D8">
            <w:pPr>
              <w:widowControl/>
              <w:spacing w:line="0" w:lineRule="atLeast"/>
              <w:jc w:val="center"/>
              <w:rPr>
                <w:rFonts w:eastAsia="仿宋_GB2312"/>
                <w:kern w:val="0"/>
                <w:szCs w:val="21"/>
              </w:rPr>
            </w:pPr>
            <w:r>
              <w:rPr>
                <w:rFonts w:hint="eastAsia" w:eastAsia="仿宋_GB2312"/>
                <w:kern w:val="0"/>
                <w:szCs w:val="21"/>
              </w:rPr>
              <w:t>效益</w:t>
            </w:r>
          </w:p>
          <w:p w14:paraId="274ED928">
            <w:pPr>
              <w:widowControl/>
              <w:spacing w:line="0" w:lineRule="atLeast"/>
              <w:jc w:val="center"/>
              <w:rPr>
                <w:rFonts w:eastAsia="仿宋_GB2312"/>
                <w:kern w:val="0"/>
                <w:szCs w:val="21"/>
              </w:rPr>
            </w:pPr>
            <w:r>
              <w:rPr>
                <w:rFonts w:hint="eastAsia" w:eastAsia="仿宋_GB2312"/>
                <w:kern w:val="0"/>
                <w:szCs w:val="21"/>
              </w:rPr>
              <w:t>指标</w:t>
            </w:r>
          </w:p>
          <w:p w14:paraId="0011F152">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53" w:type="dxa"/>
            <w:tcBorders>
              <w:top w:val="single" w:color="auto" w:sz="4" w:space="0"/>
              <w:left w:val="nil"/>
              <w:bottom w:val="single" w:color="auto" w:sz="4" w:space="0"/>
              <w:right w:val="single" w:color="auto" w:sz="4" w:space="0"/>
            </w:tcBorders>
            <w:vAlign w:val="center"/>
          </w:tcPr>
          <w:p w14:paraId="4AB2E9B1">
            <w:pPr>
              <w:widowControl/>
              <w:spacing w:line="0" w:lineRule="atLeast"/>
              <w:jc w:val="center"/>
              <w:rPr>
                <w:rFonts w:eastAsia="仿宋_GB2312"/>
                <w:kern w:val="0"/>
                <w:szCs w:val="21"/>
              </w:rPr>
            </w:pPr>
            <w:r>
              <w:rPr>
                <w:rFonts w:hint="eastAsia" w:eastAsia="仿宋_GB2312"/>
                <w:kern w:val="0"/>
                <w:szCs w:val="21"/>
              </w:rPr>
              <w:t>经济效</w:t>
            </w:r>
          </w:p>
          <w:p w14:paraId="30C84A02">
            <w:pPr>
              <w:widowControl/>
              <w:spacing w:line="0" w:lineRule="atLeast"/>
              <w:jc w:val="center"/>
              <w:rPr>
                <w:rFonts w:eastAsia="仿宋_GB2312"/>
                <w:kern w:val="0"/>
                <w:szCs w:val="21"/>
              </w:rPr>
            </w:pPr>
            <w:r>
              <w:rPr>
                <w:rFonts w:hint="eastAsia" w:eastAsia="仿宋_GB2312"/>
                <w:kern w:val="0"/>
                <w:szCs w:val="21"/>
              </w:rPr>
              <w:t>益指标</w:t>
            </w:r>
          </w:p>
        </w:tc>
        <w:tc>
          <w:tcPr>
            <w:tcW w:w="2073" w:type="dxa"/>
            <w:tcBorders>
              <w:top w:val="single" w:color="auto" w:sz="4" w:space="0"/>
              <w:left w:val="nil"/>
              <w:bottom w:val="single" w:color="auto" w:sz="4" w:space="0"/>
              <w:right w:val="single" w:color="auto" w:sz="4" w:space="0"/>
            </w:tcBorders>
            <w:shd w:val="clear" w:color="auto" w:fill="auto"/>
            <w:vAlign w:val="center"/>
          </w:tcPr>
          <w:p w14:paraId="5371534B">
            <w:pPr>
              <w:widowControl/>
              <w:jc w:val="center"/>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Cs w:val="21"/>
                <w:lang w:eastAsia="zh-CN"/>
              </w:rPr>
              <w:t>档案对县域经济的影响程度</w:t>
            </w:r>
            <w:r>
              <w:rPr>
                <w:rFonts w:hint="eastAsia" w:ascii="仿宋_GB2312" w:hAnsi="Times New Roman" w:eastAsia="仿宋_GB2312" w:cs="Times New Roman"/>
                <w:kern w:val="0"/>
                <w:szCs w:val="21"/>
              </w:rPr>
              <w:t>　</w:t>
            </w:r>
          </w:p>
        </w:tc>
        <w:tc>
          <w:tcPr>
            <w:tcW w:w="872" w:type="dxa"/>
            <w:tcBorders>
              <w:top w:val="single" w:color="auto" w:sz="4" w:space="0"/>
              <w:left w:val="nil"/>
              <w:bottom w:val="single" w:color="auto" w:sz="4" w:space="0"/>
              <w:right w:val="single" w:color="auto" w:sz="4" w:space="0"/>
            </w:tcBorders>
            <w:shd w:val="clear" w:color="auto" w:fill="auto"/>
            <w:vAlign w:val="center"/>
          </w:tcPr>
          <w:p w14:paraId="3448E635">
            <w:pPr>
              <w:widowControl/>
              <w:jc w:val="center"/>
              <w:rPr>
                <w:rFonts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比较大</w:t>
            </w:r>
            <w:r>
              <w:rPr>
                <w:rFonts w:hint="eastAsia" w:ascii="仿宋_GB2312" w:eastAsia="仿宋_GB2312"/>
                <w:kern w:val="0"/>
                <w:szCs w:val="21"/>
              </w:rPr>
              <w:t>　</w:t>
            </w:r>
          </w:p>
        </w:tc>
        <w:tc>
          <w:tcPr>
            <w:tcW w:w="1037" w:type="dxa"/>
            <w:tcBorders>
              <w:top w:val="single" w:color="auto" w:sz="4" w:space="0"/>
              <w:left w:val="nil"/>
              <w:bottom w:val="single" w:color="auto" w:sz="4" w:space="0"/>
              <w:right w:val="single" w:color="auto" w:sz="4" w:space="0"/>
            </w:tcBorders>
            <w:shd w:val="clear" w:color="auto" w:fill="auto"/>
            <w:vAlign w:val="center"/>
          </w:tcPr>
          <w:p w14:paraId="358CFBED">
            <w:pPr>
              <w:widowControl/>
              <w:jc w:val="center"/>
              <w:rPr>
                <w:rFonts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比较大</w:t>
            </w:r>
            <w:r>
              <w:rPr>
                <w:rFonts w:hint="eastAsia" w:ascii="仿宋_GB2312"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4D16564B">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14:paraId="7C61DEF2">
            <w:pPr>
              <w:widowControl/>
              <w:spacing w:line="0" w:lineRule="atLeast"/>
              <w:jc w:val="left"/>
              <w:rPr>
                <w:rFonts w:eastAsia="仿宋_GB2312"/>
                <w:kern w:val="0"/>
                <w:szCs w:val="21"/>
              </w:rPr>
            </w:pPr>
            <w:r>
              <w:rPr>
                <w:rFonts w:hint="eastAsia" w:eastAsia="仿宋_GB2312"/>
                <w:kern w:val="0"/>
                <w:szCs w:val="21"/>
                <w:lang w:val="en-US" w:eastAsia="zh-CN"/>
              </w:rPr>
              <w:t>9</w:t>
            </w:r>
            <w:r>
              <w:rPr>
                <w:rFonts w:hint="eastAsia" w:eastAsia="仿宋_GB2312"/>
                <w:kern w:val="0"/>
                <w:szCs w:val="21"/>
              </w:rPr>
              <w:t>　</w:t>
            </w:r>
          </w:p>
        </w:tc>
        <w:tc>
          <w:tcPr>
            <w:tcW w:w="2308" w:type="dxa"/>
            <w:gridSpan w:val="2"/>
            <w:tcBorders>
              <w:top w:val="single" w:color="auto" w:sz="4" w:space="0"/>
              <w:left w:val="nil"/>
              <w:bottom w:val="single" w:color="auto" w:sz="4" w:space="0"/>
              <w:right w:val="single" w:color="auto" w:sz="4" w:space="0"/>
            </w:tcBorders>
            <w:vAlign w:val="center"/>
          </w:tcPr>
          <w:p w14:paraId="493D8224">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档案对经济的影响是长期而非短期，隐形而非明显。</w:t>
            </w:r>
          </w:p>
        </w:tc>
      </w:tr>
      <w:tr w14:paraId="2CD69FBA">
        <w:tblPrEx>
          <w:tblCellMar>
            <w:top w:w="0" w:type="dxa"/>
            <w:left w:w="108" w:type="dxa"/>
            <w:bottom w:w="0" w:type="dxa"/>
            <w:right w:w="108" w:type="dxa"/>
          </w:tblCellMar>
        </w:tblPrEx>
        <w:trPr>
          <w:trHeight w:val="340"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14:paraId="3D0D89BE">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14:paraId="5CF8D670">
            <w:pPr>
              <w:widowControl/>
              <w:spacing w:line="0" w:lineRule="atLeast"/>
              <w:jc w:val="left"/>
              <w:rPr>
                <w:rFonts w:eastAsia="仿宋_GB2312"/>
                <w:kern w:val="0"/>
                <w:szCs w:val="21"/>
              </w:rPr>
            </w:pPr>
          </w:p>
        </w:tc>
        <w:tc>
          <w:tcPr>
            <w:tcW w:w="1153" w:type="dxa"/>
            <w:tcBorders>
              <w:top w:val="single" w:color="auto" w:sz="4" w:space="0"/>
              <w:left w:val="nil"/>
              <w:bottom w:val="single" w:color="auto" w:sz="4" w:space="0"/>
              <w:right w:val="single" w:color="auto" w:sz="4" w:space="0"/>
            </w:tcBorders>
            <w:vAlign w:val="center"/>
          </w:tcPr>
          <w:p w14:paraId="75E9FD17">
            <w:pPr>
              <w:widowControl/>
              <w:spacing w:line="0" w:lineRule="atLeast"/>
              <w:jc w:val="center"/>
              <w:rPr>
                <w:rFonts w:eastAsia="仿宋_GB2312"/>
                <w:kern w:val="0"/>
                <w:szCs w:val="21"/>
              </w:rPr>
            </w:pPr>
            <w:r>
              <w:rPr>
                <w:rFonts w:hint="eastAsia" w:eastAsia="仿宋_GB2312"/>
                <w:kern w:val="0"/>
                <w:szCs w:val="21"/>
              </w:rPr>
              <w:t>社会效</w:t>
            </w:r>
          </w:p>
          <w:p w14:paraId="186BF1E2">
            <w:pPr>
              <w:widowControl/>
              <w:spacing w:line="0" w:lineRule="atLeast"/>
              <w:jc w:val="center"/>
              <w:rPr>
                <w:rFonts w:eastAsia="仿宋_GB2312"/>
                <w:kern w:val="0"/>
                <w:szCs w:val="21"/>
              </w:rPr>
            </w:pPr>
            <w:r>
              <w:rPr>
                <w:rFonts w:hint="eastAsia" w:eastAsia="仿宋_GB2312"/>
                <w:kern w:val="0"/>
                <w:szCs w:val="21"/>
              </w:rPr>
              <w:t>益指标</w:t>
            </w:r>
          </w:p>
        </w:tc>
        <w:tc>
          <w:tcPr>
            <w:tcW w:w="2073" w:type="dxa"/>
            <w:tcBorders>
              <w:top w:val="single" w:color="auto" w:sz="4" w:space="0"/>
              <w:left w:val="nil"/>
              <w:bottom w:val="single" w:color="auto" w:sz="4" w:space="0"/>
              <w:right w:val="single" w:color="auto" w:sz="4" w:space="0"/>
            </w:tcBorders>
            <w:shd w:val="clear" w:color="auto" w:fill="auto"/>
            <w:vAlign w:val="center"/>
          </w:tcPr>
          <w:p w14:paraId="5CBF40D0">
            <w:pPr>
              <w:widowControl/>
              <w:jc w:val="center"/>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Cs w:val="21"/>
              </w:rPr>
              <w:t>　</w:t>
            </w:r>
            <w:r>
              <w:rPr>
                <w:rFonts w:hint="eastAsia" w:ascii="仿宋_GB2312" w:hAnsi="Times New Roman" w:eastAsia="仿宋_GB2312" w:cs="Times New Roman"/>
                <w:kern w:val="0"/>
                <w:szCs w:val="21"/>
                <w:lang w:eastAsia="zh-CN"/>
              </w:rPr>
              <w:t>档案对社会稳定及发展的影响程度</w:t>
            </w:r>
          </w:p>
        </w:tc>
        <w:tc>
          <w:tcPr>
            <w:tcW w:w="872" w:type="dxa"/>
            <w:tcBorders>
              <w:top w:val="single" w:color="auto" w:sz="4" w:space="0"/>
              <w:left w:val="nil"/>
              <w:bottom w:val="single" w:color="auto" w:sz="4" w:space="0"/>
              <w:right w:val="single" w:color="auto" w:sz="4" w:space="0"/>
            </w:tcBorders>
            <w:shd w:val="clear" w:color="auto" w:fill="auto"/>
            <w:vAlign w:val="center"/>
          </w:tcPr>
          <w:p w14:paraId="04DEE4EB">
            <w:pPr>
              <w:widowControl/>
              <w:jc w:val="center"/>
              <w:rPr>
                <w:rFonts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比较大</w:t>
            </w:r>
            <w:r>
              <w:rPr>
                <w:rFonts w:hint="eastAsia" w:ascii="仿宋_GB2312" w:eastAsia="仿宋_GB2312"/>
                <w:kern w:val="0"/>
                <w:szCs w:val="21"/>
              </w:rPr>
              <w:t>　</w:t>
            </w:r>
          </w:p>
        </w:tc>
        <w:tc>
          <w:tcPr>
            <w:tcW w:w="1037" w:type="dxa"/>
            <w:tcBorders>
              <w:top w:val="single" w:color="auto" w:sz="4" w:space="0"/>
              <w:left w:val="nil"/>
              <w:bottom w:val="single" w:color="auto" w:sz="4" w:space="0"/>
              <w:right w:val="single" w:color="auto" w:sz="4" w:space="0"/>
            </w:tcBorders>
            <w:shd w:val="clear" w:color="auto" w:fill="auto"/>
            <w:vAlign w:val="center"/>
          </w:tcPr>
          <w:p w14:paraId="673E90DA">
            <w:pPr>
              <w:widowControl/>
              <w:jc w:val="center"/>
              <w:rPr>
                <w:rFonts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比较大</w:t>
            </w:r>
            <w:r>
              <w:rPr>
                <w:rFonts w:hint="eastAsia" w:ascii="仿宋_GB2312"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14:paraId="7583F609">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14:paraId="1B645EBD">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2308" w:type="dxa"/>
            <w:gridSpan w:val="2"/>
            <w:tcBorders>
              <w:top w:val="single" w:color="auto" w:sz="4" w:space="0"/>
              <w:left w:val="nil"/>
              <w:bottom w:val="single" w:color="auto" w:sz="4" w:space="0"/>
              <w:right w:val="single" w:color="auto" w:sz="4" w:space="0"/>
            </w:tcBorders>
            <w:vAlign w:val="center"/>
          </w:tcPr>
          <w:p w14:paraId="7B747F45">
            <w:pPr>
              <w:widowControl/>
              <w:spacing w:line="0" w:lineRule="atLeast"/>
              <w:jc w:val="left"/>
              <w:rPr>
                <w:rFonts w:eastAsia="仿宋_GB2312"/>
                <w:kern w:val="0"/>
                <w:sz w:val="18"/>
                <w:szCs w:val="18"/>
              </w:rPr>
            </w:pPr>
            <w:r>
              <w:rPr>
                <w:rFonts w:hint="eastAsia" w:eastAsia="仿宋_GB2312"/>
                <w:kern w:val="0"/>
                <w:sz w:val="18"/>
                <w:szCs w:val="18"/>
              </w:rPr>
              <w:t>　</w:t>
            </w:r>
          </w:p>
        </w:tc>
      </w:tr>
      <w:tr w14:paraId="4825C695">
        <w:tblPrEx>
          <w:tblCellMar>
            <w:top w:w="0" w:type="dxa"/>
            <w:left w:w="108" w:type="dxa"/>
            <w:bottom w:w="0" w:type="dxa"/>
            <w:right w:w="108" w:type="dxa"/>
          </w:tblCellMar>
        </w:tblPrEx>
        <w:trPr>
          <w:trHeight w:val="340"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14:paraId="138E888A">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14:paraId="45EE5B37">
            <w:pPr>
              <w:widowControl/>
              <w:spacing w:line="0" w:lineRule="atLeast"/>
              <w:jc w:val="left"/>
              <w:rPr>
                <w:rFonts w:eastAsia="仿宋_GB2312"/>
                <w:kern w:val="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3CB998E">
            <w:pPr>
              <w:widowControl/>
              <w:spacing w:line="0" w:lineRule="atLeast"/>
              <w:jc w:val="center"/>
              <w:rPr>
                <w:rFonts w:eastAsia="仿宋_GB2312"/>
                <w:kern w:val="0"/>
                <w:szCs w:val="21"/>
              </w:rPr>
            </w:pPr>
            <w:r>
              <w:rPr>
                <w:rFonts w:hint="eastAsia" w:eastAsia="仿宋_GB2312"/>
                <w:kern w:val="0"/>
                <w:szCs w:val="21"/>
              </w:rPr>
              <w:t>生态效</w:t>
            </w:r>
          </w:p>
          <w:p w14:paraId="2C331B2A">
            <w:pPr>
              <w:widowControl/>
              <w:spacing w:line="0" w:lineRule="atLeast"/>
              <w:jc w:val="center"/>
              <w:rPr>
                <w:rFonts w:eastAsia="仿宋_GB2312"/>
                <w:kern w:val="0"/>
                <w:szCs w:val="21"/>
              </w:rPr>
            </w:pPr>
            <w:r>
              <w:rPr>
                <w:rFonts w:hint="eastAsia" w:eastAsia="仿宋_GB2312"/>
                <w:kern w:val="0"/>
                <w:szCs w:val="21"/>
              </w:rPr>
              <w:t>益指标</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55F3B8E2">
            <w:pPr>
              <w:widowControl/>
              <w:jc w:val="center"/>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Cs w:val="21"/>
              </w:rPr>
              <w:t>　</w:t>
            </w:r>
            <w:r>
              <w:rPr>
                <w:rFonts w:hint="eastAsia" w:ascii="仿宋_GB2312" w:hAnsi="Times New Roman" w:eastAsia="仿宋_GB2312" w:cs="Times New Roman"/>
                <w:kern w:val="0"/>
                <w:szCs w:val="21"/>
                <w:lang w:eastAsia="zh-CN"/>
              </w:rPr>
              <w:t>档案对生态环境的影响强度</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7733126D">
            <w:pPr>
              <w:widowControl/>
              <w:jc w:val="center"/>
              <w:rPr>
                <w:rFonts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微弱</w:t>
            </w:r>
            <w:r>
              <w:rPr>
                <w:rFonts w:hint="eastAsia" w:ascii="仿宋_GB2312" w:eastAsia="仿宋_GB2312"/>
                <w:kern w:val="0"/>
                <w:szCs w:val="21"/>
              </w:rPr>
              <w:t>　</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00DD310D">
            <w:pPr>
              <w:widowControl/>
              <w:jc w:val="center"/>
              <w:rPr>
                <w:rFonts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微弱</w:t>
            </w:r>
            <w:r>
              <w:rPr>
                <w:rFonts w:hint="eastAsia" w:ascii="仿宋_GB2312"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14:paraId="2F85566A">
            <w:pPr>
              <w:widowControl/>
              <w:spacing w:line="0" w:lineRule="atLeast"/>
              <w:jc w:val="center"/>
              <w:rPr>
                <w:rFonts w:eastAsia="仿宋_GB2312"/>
                <w:kern w:val="0"/>
                <w:szCs w:val="21"/>
              </w:rPr>
            </w:pPr>
            <w:r>
              <w:rPr>
                <w:rFonts w:hint="eastAsia" w:eastAsia="仿宋_GB2312"/>
                <w:kern w:val="0"/>
                <w:szCs w:val="21"/>
                <w:lang w:val="en-US" w:eastAsia="zh-CN"/>
              </w:rPr>
              <w:t>5</w:t>
            </w:r>
          </w:p>
        </w:tc>
        <w:tc>
          <w:tcPr>
            <w:tcW w:w="429" w:type="dxa"/>
            <w:tcBorders>
              <w:top w:val="single" w:color="auto" w:sz="4" w:space="0"/>
              <w:left w:val="nil"/>
              <w:bottom w:val="single" w:color="auto" w:sz="4" w:space="0"/>
              <w:right w:val="single" w:color="auto" w:sz="4" w:space="0"/>
            </w:tcBorders>
            <w:vAlign w:val="center"/>
          </w:tcPr>
          <w:p w14:paraId="0156137B">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2308" w:type="dxa"/>
            <w:gridSpan w:val="2"/>
            <w:tcBorders>
              <w:top w:val="single" w:color="auto" w:sz="4" w:space="0"/>
              <w:left w:val="nil"/>
              <w:bottom w:val="single" w:color="auto" w:sz="4" w:space="0"/>
              <w:right w:val="single" w:color="auto" w:sz="4" w:space="0"/>
            </w:tcBorders>
            <w:vAlign w:val="center"/>
          </w:tcPr>
          <w:p w14:paraId="345F8213">
            <w:pPr>
              <w:widowControl/>
              <w:spacing w:line="0" w:lineRule="atLeast"/>
              <w:jc w:val="left"/>
              <w:rPr>
                <w:rFonts w:eastAsia="仿宋_GB2312"/>
                <w:kern w:val="0"/>
                <w:sz w:val="18"/>
                <w:szCs w:val="18"/>
              </w:rPr>
            </w:pPr>
            <w:r>
              <w:rPr>
                <w:rFonts w:hint="eastAsia" w:eastAsia="仿宋_GB2312"/>
                <w:kern w:val="0"/>
                <w:sz w:val="18"/>
                <w:szCs w:val="18"/>
              </w:rPr>
              <w:t>　</w:t>
            </w:r>
          </w:p>
        </w:tc>
      </w:tr>
      <w:tr w14:paraId="3FA8C0EF">
        <w:tblPrEx>
          <w:tblCellMar>
            <w:top w:w="0" w:type="dxa"/>
            <w:left w:w="108" w:type="dxa"/>
            <w:bottom w:w="0" w:type="dxa"/>
            <w:right w:w="108" w:type="dxa"/>
          </w:tblCellMar>
        </w:tblPrEx>
        <w:trPr>
          <w:trHeight w:val="340"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14:paraId="421E26C9">
            <w:pPr>
              <w:widowControl/>
              <w:spacing w:line="0" w:lineRule="atLeast"/>
              <w:jc w:val="left"/>
              <w:rPr>
                <w:rFonts w:eastAsia="仿宋_GB2312"/>
                <w:kern w:val="0"/>
                <w:szCs w:val="21"/>
              </w:rPr>
            </w:pPr>
          </w:p>
        </w:tc>
        <w:tc>
          <w:tcPr>
            <w:tcW w:w="777" w:type="dxa"/>
            <w:vMerge w:val="continue"/>
            <w:tcBorders>
              <w:top w:val="single" w:color="auto" w:sz="4" w:space="0"/>
              <w:left w:val="nil"/>
              <w:bottom w:val="single" w:color="auto" w:sz="4" w:space="0"/>
              <w:right w:val="single" w:color="auto" w:sz="4" w:space="0"/>
            </w:tcBorders>
            <w:vAlign w:val="center"/>
          </w:tcPr>
          <w:p w14:paraId="51898180">
            <w:pPr>
              <w:widowControl/>
              <w:spacing w:line="0" w:lineRule="atLeast"/>
              <w:jc w:val="left"/>
              <w:rPr>
                <w:rFonts w:eastAsia="仿宋_GB2312"/>
                <w:kern w:val="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AB63BDA">
            <w:pPr>
              <w:widowControl/>
              <w:spacing w:line="0" w:lineRule="atLeast"/>
              <w:jc w:val="center"/>
              <w:rPr>
                <w:rFonts w:eastAsia="仿宋_GB2312"/>
                <w:kern w:val="0"/>
                <w:szCs w:val="21"/>
              </w:rPr>
            </w:pPr>
            <w:r>
              <w:rPr>
                <w:rFonts w:hint="eastAsia" w:eastAsia="仿宋_GB2312"/>
                <w:kern w:val="0"/>
                <w:szCs w:val="21"/>
              </w:rPr>
              <w:t>可持续影响指标</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4048EC47">
            <w:pPr>
              <w:widowControl/>
              <w:jc w:val="center"/>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Cs w:val="21"/>
              </w:rPr>
              <w:t>　</w:t>
            </w:r>
            <w:r>
              <w:rPr>
                <w:rFonts w:hint="eastAsia" w:ascii="仿宋_GB2312" w:hAnsi="Times New Roman" w:eastAsia="仿宋_GB2312" w:cs="Times New Roman"/>
                <w:kern w:val="0"/>
                <w:szCs w:val="21"/>
                <w:lang w:eastAsia="zh-CN"/>
              </w:rPr>
              <w:t>档案的可持续影响程度</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2AC97E16">
            <w:pPr>
              <w:widowControl/>
              <w:jc w:val="center"/>
              <w:rPr>
                <w:rFonts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永久</w:t>
            </w:r>
            <w:r>
              <w:rPr>
                <w:rFonts w:hint="eastAsia" w:ascii="仿宋_GB2312" w:eastAsia="仿宋_GB2312"/>
                <w:kern w:val="0"/>
                <w:szCs w:val="21"/>
              </w:rPr>
              <w:t>　</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0F3ABAFF">
            <w:pPr>
              <w:widowControl/>
              <w:jc w:val="center"/>
              <w:rPr>
                <w:rFonts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永久</w:t>
            </w:r>
            <w:r>
              <w:rPr>
                <w:rFonts w:hint="eastAsia" w:ascii="仿宋_GB2312"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14:paraId="1963E57F">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5</w:t>
            </w:r>
          </w:p>
        </w:tc>
        <w:tc>
          <w:tcPr>
            <w:tcW w:w="429" w:type="dxa"/>
            <w:tcBorders>
              <w:top w:val="single" w:color="auto" w:sz="4" w:space="0"/>
              <w:left w:val="single" w:color="auto" w:sz="4" w:space="0"/>
              <w:bottom w:val="single" w:color="auto" w:sz="4" w:space="0"/>
              <w:right w:val="single" w:color="auto" w:sz="4" w:space="0"/>
            </w:tcBorders>
            <w:vAlign w:val="center"/>
          </w:tcPr>
          <w:p w14:paraId="2F832D4E">
            <w:pPr>
              <w:widowControl/>
              <w:spacing w:line="0" w:lineRule="atLeast"/>
              <w:jc w:val="left"/>
              <w:rPr>
                <w:rFonts w:eastAsia="仿宋_GB2312"/>
                <w:kern w:val="0"/>
                <w:szCs w:val="21"/>
              </w:rPr>
            </w:pPr>
            <w:r>
              <w:rPr>
                <w:rFonts w:hint="eastAsia" w:eastAsia="仿宋_GB2312"/>
                <w:kern w:val="0"/>
                <w:szCs w:val="21"/>
                <w:lang w:val="en-US" w:eastAsia="zh-CN"/>
              </w:rPr>
              <w:t>5</w:t>
            </w:r>
            <w:r>
              <w:rPr>
                <w:rFonts w:hint="eastAsia" w:eastAsia="仿宋_GB2312"/>
                <w:kern w:val="0"/>
                <w:szCs w:val="21"/>
              </w:rPr>
              <w:t>　</w:t>
            </w:r>
          </w:p>
        </w:tc>
        <w:tc>
          <w:tcPr>
            <w:tcW w:w="2308" w:type="dxa"/>
            <w:gridSpan w:val="2"/>
            <w:tcBorders>
              <w:top w:val="single" w:color="auto" w:sz="4" w:space="0"/>
              <w:left w:val="single" w:color="auto" w:sz="4" w:space="0"/>
              <w:bottom w:val="single" w:color="auto" w:sz="4" w:space="0"/>
              <w:right w:val="single" w:color="auto" w:sz="4" w:space="0"/>
            </w:tcBorders>
            <w:vAlign w:val="center"/>
          </w:tcPr>
          <w:p w14:paraId="0D0BF89E">
            <w:pPr>
              <w:widowControl/>
              <w:spacing w:line="0" w:lineRule="atLeast"/>
              <w:jc w:val="left"/>
              <w:rPr>
                <w:rFonts w:eastAsia="仿宋_GB2312"/>
                <w:kern w:val="0"/>
                <w:sz w:val="18"/>
                <w:szCs w:val="18"/>
              </w:rPr>
            </w:pPr>
            <w:r>
              <w:rPr>
                <w:rFonts w:hint="eastAsia" w:eastAsia="仿宋_GB2312"/>
                <w:kern w:val="0"/>
                <w:sz w:val="18"/>
                <w:szCs w:val="18"/>
              </w:rPr>
              <w:t>　</w:t>
            </w:r>
          </w:p>
        </w:tc>
      </w:tr>
      <w:tr w14:paraId="720B53C0">
        <w:tblPrEx>
          <w:tblCellMar>
            <w:top w:w="0" w:type="dxa"/>
            <w:left w:w="108" w:type="dxa"/>
            <w:bottom w:w="0" w:type="dxa"/>
            <w:right w:w="108" w:type="dxa"/>
          </w:tblCellMar>
        </w:tblPrEx>
        <w:trPr>
          <w:trHeight w:val="340"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14:paraId="235684A3">
            <w:pPr>
              <w:widowControl/>
              <w:spacing w:line="0" w:lineRule="atLeast"/>
              <w:jc w:val="left"/>
              <w:rPr>
                <w:rFonts w:eastAsia="仿宋_GB2312"/>
                <w:kern w:val="0"/>
                <w:szCs w:val="21"/>
              </w:rPr>
            </w:pPr>
          </w:p>
        </w:tc>
        <w:tc>
          <w:tcPr>
            <w:tcW w:w="777" w:type="dxa"/>
            <w:tcBorders>
              <w:top w:val="nil"/>
              <w:left w:val="nil"/>
              <w:bottom w:val="single" w:color="auto" w:sz="4" w:space="0"/>
              <w:right w:val="single" w:color="auto" w:sz="4" w:space="0"/>
            </w:tcBorders>
            <w:vAlign w:val="center"/>
          </w:tcPr>
          <w:p w14:paraId="7F703A0F">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0ADA9089">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53" w:type="dxa"/>
            <w:tcBorders>
              <w:top w:val="nil"/>
              <w:left w:val="nil"/>
              <w:bottom w:val="single" w:color="auto" w:sz="4" w:space="0"/>
              <w:right w:val="single" w:color="auto" w:sz="4" w:space="0"/>
            </w:tcBorders>
            <w:vAlign w:val="center"/>
          </w:tcPr>
          <w:p w14:paraId="5BD55000">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2073" w:type="dxa"/>
            <w:tcBorders>
              <w:top w:val="nil"/>
              <w:left w:val="nil"/>
              <w:bottom w:val="single" w:color="auto" w:sz="4" w:space="0"/>
              <w:right w:val="single" w:color="auto" w:sz="4" w:space="0"/>
            </w:tcBorders>
            <w:shd w:val="clear" w:color="auto" w:fill="auto"/>
            <w:vAlign w:val="center"/>
          </w:tcPr>
          <w:p w14:paraId="7C28C0CF">
            <w:pPr>
              <w:widowControl/>
              <w:jc w:val="center"/>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Cs w:val="21"/>
              </w:rPr>
              <w:t>　</w:t>
            </w:r>
            <w:r>
              <w:rPr>
                <w:rFonts w:hint="eastAsia" w:ascii="仿宋_GB2312" w:hAnsi="Times New Roman" w:eastAsia="仿宋_GB2312" w:cs="Times New Roman"/>
                <w:kern w:val="0"/>
                <w:szCs w:val="21"/>
                <w:lang w:eastAsia="zh-CN"/>
              </w:rPr>
              <w:t>档案查阅利用者满意度</w:t>
            </w:r>
          </w:p>
        </w:tc>
        <w:tc>
          <w:tcPr>
            <w:tcW w:w="872" w:type="dxa"/>
            <w:tcBorders>
              <w:top w:val="nil"/>
              <w:left w:val="nil"/>
              <w:bottom w:val="single" w:color="auto" w:sz="4" w:space="0"/>
              <w:right w:val="single" w:color="auto" w:sz="4" w:space="0"/>
            </w:tcBorders>
            <w:shd w:val="clear" w:color="auto" w:fill="auto"/>
            <w:vAlign w:val="center"/>
          </w:tcPr>
          <w:p w14:paraId="7961990A">
            <w:pPr>
              <w:widowControl/>
              <w:jc w:val="center"/>
              <w:rPr>
                <w:rFonts w:ascii="仿宋_GB2312" w:hAnsi="Calibri" w:eastAsia="仿宋_GB2312" w:cs="Times New Roman"/>
                <w:kern w:val="0"/>
                <w:sz w:val="21"/>
                <w:szCs w:val="21"/>
                <w:lang w:val="en-US" w:eastAsia="zh-CN" w:bidi="ar-SA"/>
              </w:rPr>
            </w:pPr>
            <w:r>
              <w:rPr>
                <w:rFonts w:hint="eastAsia" w:ascii="宋体" w:hAnsi="宋体" w:eastAsia="宋体" w:cs="宋体"/>
                <w:kern w:val="0"/>
                <w:szCs w:val="21"/>
              </w:rPr>
              <w:t>≧</w:t>
            </w:r>
            <w:r>
              <w:rPr>
                <w:rFonts w:hint="eastAsia" w:ascii="仿宋_GB2312" w:eastAsia="仿宋_GB2312"/>
                <w:kern w:val="0"/>
                <w:szCs w:val="21"/>
                <w:lang w:val="en-US" w:eastAsia="zh-CN"/>
              </w:rPr>
              <w:t>95%</w:t>
            </w:r>
            <w:r>
              <w:rPr>
                <w:rFonts w:hint="eastAsia" w:ascii="仿宋_GB2312" w:eastAsia="仿宋_GB2312"/>
                <w:kern w:val="0"/>
                <w:szCs w:val="21"/>
              </w:rPr>
              <w:t>　</w:t>
            </w:r>
          </w:p>
        </w:tc>
        <w:tc>
          <w:tcPr>
            <w:tcW w:w="1037" w:type="dxa"/>
            <w:tcBorders>
              <w:top w:val="nil"/>
              <w:left w:val="nil"/>
              <w:bottom w:val="single" w:color="auto" w:sz="4" w:space="0"/>
              <w:right w:val="single" w:color="auto" w:sz="4" w:space="0"/>
            </w:tcBorders>
            <w:shd w:val="clear" w:color="auto" w:fill="auto"/>
            <w:vAlign w:val="center"/>
          </w:tcPr>
          <w:p w14:paraId="00B9AABE">
            <w:pPr>
              <w:widowControl/>
              <w:jc w:val="center"/>
              <w:rPr>
                <w:rFonts w:ascii="仿宋_GB2312" w:hAnsi="Calibri" w:eastAsia="仿宋_GB2312" w:cs="Times New Roman"/>
                <w:kern w:val="0"/>
                <w:sz w:val="21"/>
                <w:szCs w:val="21"/>
                <w:lang w:val="en-US" w:eastAsia="zh-CN" w:bidi="ar-SA"/>
              </w:rPr>
            </w:pPr>
            <w:r>
              <w:rPr>
                <w:rFonts w:hint="eastAsia" w:ascii="宋体" w:hAnsi="宋体" w:eastAsia="宋体" w:cs="宋体"/>
                <w:kern w:val="0"/>
                <w:szCs w:val="21"/>
              </w:rPr>
              <w:t>≧</w:t>
            </w:r>
            <w:r>
              <w:rPr>
                <w:rFonts w:hint="eastAsia" w:ascii="仿宋_GB2312" w:eastAsia="仿宋_GB2312"/>
                <w:kern w:val="0"/>
                <w:szCs w:val="21"/>
                <w:lang w:val="en-US" w:eastAsia="zh-CN"/>
              </w:rPr>
              <w:t>98%</w:t>
            </w:r>
            <w:r>
              <w:rPr>
                <w:rFonts w:hint="eastAsia" w:ascii="仿宋_GB2312" w:eastAsia="仿宋_GB2312"/>
                <w:kern w:val="0"/>
                <w:szCs w:val="21"/>
              </w:rPr>
              <w:t>　</w:t>
            </w:r>
          </w:p>
        </w:tc>
        <w:tc>
          <w:tcPr>
            <w:tcW w:w="536" w:type="dxa"/>
            <w:tcBorders>
              <w:top w:val="nil"/>
              <w:left w:val="nil"/>
              <w:bottom w:val="single" w:color="auto" w:sz="4" w:space="0"/>
              <w:right w:val="single" w:color="auto" w:sz="4" w:space="0"/>
            </w:tcBorders>
            <w:vAlign w:val="center"/>
          </w:tcPr>
          <w:p w14:paraId="2EEDF4FC">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14:paraId="275D9E4B">
            <w:pPr>
              <w:widowControl/>
              <w:spacing w:line="0" w:lineRule="atLeast"/>
              <w:jc w:val="left"/>
              <w:rPr>
                <w:rFonts w:hint="eastAsia" w:eastAsia="仿宋_GB2312"/>
                <w:kern w:val="0"/>
                <w:szCs w:val="21"/>
                <w:lang w:eastAsia="zh-CN"/>
              </w:rPr>
            </w:pPr>
            <w:r>
              <w:rPr>
                <w:rFonts w:hint="eastAsia" w:eastAsia="仿宋_GB2312"/>
                <w:kern w:val="0"/>
                <w:szCs w:val="21"/>
                <w:lang w:val="en-US" w:eastAsia="zh-CN"/>
              </w:rPr>
              <w:t>9</w:t>
            </w:r>
          </w:p>
        </w:tc>
        <w:tc>
          <w:tcPr>
            <w:tcW w:w="2308" w:type="dxa"/>
            <w:gridSpan w:val="2"/>
            <w:tcBorders>
              <w:top w:val="nil"/>
              <w:left w:val="nil"/>
              <w:bottom w:val="single" w:color="auto" w:sz="4" w:space="0"/>
              <w:right w:val="single" w:color="auto" w:sz="4" w:space="0"/>
            </w:tcBorders>
            <w:vAlign w:val="center"/>
          </w:tcPr>
          <w:p w14:paraId="78250594">
            <w:pPr>
              <w:widowControl/>
              <w:spacing w:line="0" w:lineRule="atLeast"/>
              <w:jc w:val="left"/>
              <w:rPr>
                <w:rFonts w:hint="default" w:eastAsia="仿宋_GB2312"/>
                <w:kern w:val="0"/>
                <w:sz w:val="18"/>
                <w:szCs w:val="18"/>
                <w:lang w:val="en-US" w:eastAsia="zh-CN"/>
              </w:rPr>
            </w:pPr>
            <w:r>
              <w:rPr>
                <w:rFonts w:hint="eastAsia" w:eastAsia="仿宋_GB2312"/>
                <w:kern w:val="0"/>
                <w:sz w:val="18"/>
                <w:szCs w:val="18"/>
              </w:rPr>
              <w:t>　</w:t>
            </w:r>
            <w:r>
              <w:rPr>
                <w:rFonts w:hint="eastAsia" w:eastAsia="仿宋_GB2312"/>
                <w:kern w:val="0"/>
                <w:sz w:val="18"/>
                <w:szCs w:val="18"/>
                <w:lang w:val="en-US" w:eastAsia="zh-CN"/>
              </w:rPr>
              <w:t>因馆藏档案不能满足所有利用者需求，尽可能征集收集民生类档案，满足老百姓查阅需求。</w:t>
            </w:r>
          </w:p>
        </w:tc>
      </w:tr>
      <w:tr w14:paraId="6710BA62">
        <w:tblPrEx>
          <w:tblCellMar>
            <w:top w:w="0" w:type="dxa"/>
            <w:left w:w="108" w:type="dxa"/>
            <w:bottom w:w="0" w:type="dxa"/>
            <w:right w:w="108" w:type="dxa"/>
          </w:tblCellMar>
        </w:tblPrEx>
        <w:trPr>
          <w:trHeight w:val="340" w:hRule="atLeast"/>
          <w:jc w:val="center"/>
        </w:trPr>
        <w:tc>
          <w:tcPr>
            <w:tcW w:w="6958" w:type="dxa"/>
            <w:gridSpan w:val="6"/>
            <w:tcBorders>
              <w:top w:val="single" w:color="auto" w:sz="4" w:space="0"/>
              <w:left w:val="single" w:color="auto" w:sz="4" w:space="0"/>
              <w:bottom w:val="single" w:color="auto" w:sz="4" w:space="0"/>
              <w:right w:val="single" w:color="000000" w:sz="4" w:space="0"/>
            </w:tcBorders>
            <w:vAlign w:val="center"/>
          </w:tcPr>
          <w:p w14:paraId="1FCC2C4C">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14:paraId="00FCAE4B">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14:paraId="40BB094B">
            <w:pPr>
              <w:widowControl/>
              <w:spacing w:line="0" w:lineRule="atLeast"/>
              <w:jc w:val="left"/>
              <w:rPr>
                <w:rFonts w:eastAsia="仿宋_GB2312"/>
                <w:kern w:val="0"/>
                <w:szCs w:val="21"/>
              </w:rPr>
            </w:pPr>
            <w:r>
              <w:rPr>
                <w:rFonts w:hint="eastAsia" w:eastAsia="仿宋_GB2312"/>
                <w:kern w:val="0"/>
                <w:szCs w:val="21"/>
                <w:lang w:val="en-US" w:eastAsia="zh-CN"/>
              </w:rPr>
              <w:t>97</w:t>
            </w:r>
            <w:r>
              <w:rPr>
                <w:rFonts w:hint="eastAsia" w:eastAsia="仿宋_GB2312"/>
                <w:kern w:val="0"/>
                <w:szCs w:val="21"/>
              </w:rPr>
              <w:t>　</w:t>
            </w:r>
          </w:p>
        </w:tc>
        <w:tc>
          <w:tcPr>
            <w:tcW w:w="2308" w:type="dxa"/>
            <w:gridSpan w:val="2"/>
            <w:tcBorders>
              <w:top w:val="nil"/>
              <w:left w:val="nil"/>
              <w:bottom w:val="single" w:color="auto" w:sz="4" w:space="0"/>
              <w:right w:val="single" w:color="auto" w:sz="4" w:space="0"/>
            </w:tcBorders>
            <w:vAlign w:val="center"/>
          </w:tcPr>
          <w:p w14:paraId="1F104FA7">
            <w:pPr>
              <w:widowControl/>
              <w:spacing w:line="0" w:lineRule="atLeast"/>
              <w:jc w:val="left"/>
              <w:rPr>
                <w:rFonts w:eastAsia="仿宋_GB2312"/>
                <w:kern w:val="0"/>
                <w:szCs w:val="21"/>
              </w:rPr>
            </w:pPr>
            <w:r>
              <w:rPr>
                <w:rFonts w:hint="eastAsia" w:eastAsia="仿宋_GB2312"/>
                <w:kern w:val="0"/>
                <w:szCs w:val="21"/>
              </w:rPr>
              <w:t>　</w:t>
            </w:r>
          </w:p>
        </w:tc>
      </w:tr>
    </w:tbl>
    <w:p w14:paraId="2AF2CCF2">
      <w:pPr>
        <w:spacing w:before="120" w:beforeLines="50"/>
        <w:rPr>
          <w:rFonts w:hint="eastAsia" w:ascii="黑体" w:eastAsia="黑体"/>
          <w:sz w:val="32"/>
          <w:szCs w:val="32"/>
        </w:rPr>
      </w:pPr>
      <w:r>
        <w:rPr>
          <w:rFonts w:hint="eastAsia" w:eastAsia="仿宋_GB2312"/>
          <w:sz w:val="24"/>
        </w:rPr>
        <w:t>填表人：</w:t>
      </w:r>
      <w:r>
        <w:rPr>
          <w:rFonts w:hint="eastAsia" w:eastAsia="仿宋_GB2312"/>
          <w:sz w:val="24"/>
          <w:lang w:val="en-US" w:eastAsia="zh-CN"/>
        </w:rPr>
        <w:t>陈朝辉</w:t>
      </w:r>
      <w:r>
        <w:rPr>
          <w:rFonts w:eastAsia="仿宋_GB2312"/>
          <w:sz w:val="24"/>
        </w:rPr>
        <w:t xml:space="preserve"> </w:t>
      </w:r>
      <w:r>
        <w:rPr>
          <w:rFonts w:hint="eastAsia" w:eastAsia="仿宋_GB2312"/>
          <w:sz w:val="24"/>
        </w:rPr>
        <w:t>填报日期</w:t>
      </w:r>
      <w:r>
        <w:rPr>
          <w:rFonts w:hint="eastAsia" w:eastAsia="仿宋_GB2312"/>
          <w:sz w:val="24"/>
          <w:lang w:eastAsia="zh-CN"/>
        </w:rPr>
        <w:t>：</w:t>
      </w:r>
      <w:r>
        <w:rPr>
          <w:rFonts w:hint="eastAsia" w:eastAsia="仿宋_GB2312"/>
          <w:sz w:val="24"/>
          <w:lang w:val="en-US" w:eastAsia="zh-CN"/>
        </w:rPr>
        <w:t>2024年4月</w:t>
      </w:r>
      <w:r>
        <w:rPr>
          <w:rFonts w:eastAsia="仿宋_GB2312"/>
          <w:sz w:val="24"/>
        </w:rPr>
        <w:t xml:space="preserve"> </w:t>
      </w:r>
      <w:r>
        <w:rPr>
          <w:rFonts w:hint="eastAsia" w:eastAsia="仿宋_GB2312"/>
          <w:sz w:val="24"/>
        </w:rPr>
        <w:t>联系电话：</w:t>
      </w:r>
      <w:r>
        <w:rPr>
          <w:rFonts w:hint="eastAsia" w:eastAsia="仿宋_GB2312"/>
          <w:sz w:val="24"/>
          <w:lang w:val="en-US" w:eastAsia="zh-CN"/>
        </w:rPr>
        <w:t>15869887698</w:t>
      </w:r>
      <w:r>
        <w:rPr>
          <w:rFonts w:eastAsia="仿宋_GB2312"/>
          <w:sz w:val="24"/>
        </w:rPr>
        <w:t xml:space="preserve"> </w:t>
      </w:r>
      <w:r>
        <w:rPr>
          <w:rFonts w:hint="eastAsia" w:eastAsia="仿宋_GB2312"/>
          <w:sz w:val="24"/>
        </w:rPr>
        <w:t>单位负责人签字：</w:t>
      </w:r>
      <w:bookmarkStart w:id="0" w:name="_GoBack"/>
      <w:bookmarkEnd w:id="0"/>
    </w:p>
    <w:p w14:paraId="7CC51146">
      <w:pPr>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 w:name="WPS灵秀黑">
    <w:panose1 w:val="00000000000000000000"/>
    <w:charset w:val="86"/>
    <w:family w:val="auto"/>
    <w:pitch w:val="default"/>
    <w:sig w:usb0="00000283" w:usb1="180F1C10" w:usb2="00000016" w:usb3="00000000" w:csb0="40040001" w:csb1="C0D6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14:paraId="60A88FE7">
        <w:pPr>
          <w:pStyle w:val="4"/>
          <w:jc w:val="center"/>
        </w:pPr>
        <w:r>
          <w:fldChar w:fldCharType="begin"/>
        </w:r>
        <w:r>
          <w:instrText xml:space="preserve">PAGE   \* MERGEFORMAT</w:instrText>
        </w:r>
        <w:r>
          <w:fldChar w:fldCharType="separate"/>
        </w:r>
        <w:r>
          <w:rPr>
            <w:lang w:val="zh-CN"/>
          </w:rPr>
          <w:t>3</w:t>
        </w:r>
        <w:r>
          <w:fldChar w:fldCharType="end"/>
        </w:r>
      </w:p>
    </w:sdtContent>
  </w:sdt>
  <w:p w14:paraId="0A83FC35">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4AEA4"/>
    <w:multiLevelType w:val="singleLevel"/>
    <w:tmpl w:val="CF94AEA4"/>
    <w:lvl w:ilvl="0" w:tentative="0">
      <w:start w:val="2"/>
      <w:numFmt w:val="chineseCounting"/>
      <w:suff w:val="nothing"/>
      <w:lvlText w:val="（%1）"/>
      <w:lvlJc w:val="left"/>
      <w:rPr>
        <w:rFonts w:hint="eastAsia"/>
      </w:rPr>
    </w:lvl>
  </w:abstractNum>
  <w:abstractNum w:abstractNumId="1">
    <w:nsid w:val="F7C09E02"/>
    <w:multiLevelType w:val="singleLevel"/>
    <w:tmpl w:val="F7C09E02"/>
    <w:lvl w:ilvl="0" w:tentative="0">
      <w:start w:val="3"/>
      <w:numFmt w:val="chineseCounting"/>
      <w:suff w:val="nothing"/>
      <w:lvlText w:val="%1、"/>
      <w:lvlJc w:val="left"/>
      <w:rPr>
        <w:rFonts w:hint="eastAsia"/>
      </w:rPr>
    </w:lvl>
  </w:abstractNum>
  <w:abstractNum w:abstractNumId="2">
    <w:nsid w:val="F91C74CF"/>
    <w:multiLevelType w:val="singleLevel"/>
    <w:tmpl w:val="F91C74CF"/>
    <w:lvl w:ilvl="0" w:tentative="0">
      <w:start w:val="1"/>
      <w:numFmt w:val="decimal"/>
      <w:lvlText w:val="%1."/>
      <w:lvlJc w:val="left"/>
      <w:pPr>
        <w:tabs>
          <w:tab w:val="left" w:pos="312"/>
        </w:tabs>
        <w:ind w:left="1890"/>
      </w:pPr>
    </w:lvl>
  </w:abstractNum>
  <w:abstractNum w:abstractNumId="3">
    <w:nsid w:val="258C78E1"/>
    <w:multiLevelType w:val="singleLevel"/>
    <w:tmpl w:val="258C78E1"/>
    <w:lvl w:ilvl="0" w:tentative="0">
      <w:start w:val="8"/>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MDQ5MWE2MmM0N2UxMWUzZWU2N2EwYjQzN2QwYjI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C63780"/>
    <w:rsid w:val="062736E9"/>
    <w:rsid w:val="06B14C94"/>
    <w:rsid w:val="07061C60"/>
    <w:rsid w:val="07601F6F"/>
    <w:rsid w:val="083F46C2"/>
    <w:rsid w:val="0859360A"/>
    <w:rsid w:val="087251E8"/>
    <w:rsid w:val="090C0797"/>
    <w:rsid w:val="092550F0"/>
    <w:rsid w:val="09636F12"/>
    <w:rsid w:val="0AEF7373"/>
    <w:rsid w:val="0B402ED3"/>
    <w:rsid w:val="0B5575DE"/>
    <w:rsid w:val="0B595BEC"/>
    <w:rsid w:val="0D013842"/>
    <w:rsid w:val="0D605FA4"/>
    <w:rsid w:val="0DAC1131"/>
    <w:rsid w:val="0DCD1FE2"/>
    <w:rsid w:val="0F0351A9"/>
    <w:rsid w:val="0F6040CA"/>
    <w:rsid w:val="0F686EA2"/>
    <w:rsid w:val="0FA4224E"/>
    <w:rsid w:val="10125033"/>
    <w:rsid w:val="13063EC3"/>
    <w:rsid w:val="194621AC"/>
    <w:rsid w:val="1C96001A"/>
    <w:rsid w:val="1DA67C4F"/>
    <w:rsid w:val="1E4A056C"/>
    <w:rsid w:val="1E795ADD"/>
    <w:rsid w:val="1E893277"/>
    <w:rsid w:val="2051109F"/>
    <w:rsid w:val="20DC27D1"/>
    <w:rsid w:val="213F01B2"/>
    <w:rsid w:val="21486D67"/>
    <w:rsid w:val="217355DC"/>
    <w:rsid w:val="26A1499A"/>
    <w:rsid w:val="26CA0729"/>
    <w:rsid w:val="26EC76C6"/>
    <w:rsid w:val="273137CC"/>
    <w:rsid w:val="27654B82"/>
    <w:rsid w:val="279C010A"/>
    <w:rsid w:val="297E7214"/>
    <w:rsid w:val="2ACD4C49"/>
    <w:rsid w:val="2B9C3577"/>
    <w:rsid w:val="2BBA09D7"/>
    <w:rsid w:val="2BD440AE"/>
    <w:rsid w:val="2BD575BF"/>
    <w:rsid w:val="2C6944DC"/>
    <w:rsid w:val="2DB2495A"/>
    <w:rsid w:val="2EF0518E"/>
    <w:rsid w:val="2F373F0A"/>
    <w:rsid w:val="2F465CE9"/>
    <w:rsid w:val="30133FEC"/>
    <w:rsid w:val="301467A7"/>
    <w:rsid w:val="319E58AE"/>
    <w:rsid w:val="32E672DE"/>
    <w:rsid w:val="33173320"/>
    <w:rsid w:val="33A54FFD"/>
    <w:rsid w:val="33F47CCB"/>
    <w:rsid w:val="34EE16F2"/>
    <w:rsid w:val="367E6347"/>
    <w:rsid w:val="36B74B2C"/>
    <w:rsid w:val="376A7251"/>
    <w:rsid w:val="38FF20BA"/>
    <w:rsid w:val="3B4A4976"/>
    <w:rsid w:val="3D6A788A"/>
    <w:rsid w:val="3E1C6CCE"/>
    <w:rsid w:val="3E7762B4"/>
    <w:rsid w:val="3F07230B"/>
    <w:rsid w:val="401A4DB7"/>
    <w:rsid w:val="40551718"/>
    <w:rsid w:val="412A5093"/>
    <w:rsid w:val="41BF13BA"/>
    <w:rsid w:val="41D96CAB"/>
    <w:rsid w:val="438C45B0"/>
    <w:rsid w:val="43CA6E24"/>
    <w:rsid w:val="448C37A5"/>
    <w:rsid w:val="44AE371A"/>
    <w:rsid w:val="4750610E"/>
    <w:rsid w:val="476A2E5A"/>
    <w:rsid w:val="48D77849"/>
    <w:rsid w:val="492E6CEA"/>
    <w:rsid w:val="499C5626"/>
    <w:rsid w:val="49D62A28"/>
    <w:rsid w:val="4A6A422A"/>
    <w:rsid w:val="4C3126A7"/>
    <w:rsid w:val="4C985623"/>
    <w:rsid w:val="4D1D75B1"/>
    <w:rsid w:val="4DC14C54"/>
    <w:rsid w:val="5025403F"/>
    <w:rsid w:val="512D283B"/>
    <w:rsid w:val="51706157"/>
    <w:rsid w:val="51A64FE7"/>
    <w:rsid w:val="52245ABB"/>
    <w:rsid w:val="544E62B5"/>
    <w:rsid w:val="545435FA"/>
    <w:rsid w:val="54D83964"/>
    <w:rsid w:val="551E5284"/>
    <w:rsid w:val="569958AC"/>
    <w:rsid w:val="57965D12"/>
    <w:rsid w:val="587F7BAB"/>
    <w:rsid w:val="58CE08CD"/>
    <w:rsid w:val="590B7824"/>
    <w:rsid w:val="598A0134"/>
    <w:rsid w:val="59BA41A7"/>
    <w:rsid w:val="5A781473"/>
    <w:rsid w:val="5B0867BA"/>
    <w:rsid w:val="5E2D0ECA"/>
    <w:rsid w:val="5E7E2E48"/>
    <w:rsid w:val="5EB920A6"/>
    <w:rsid w:val="5EE15247"/>
    <w:rsid w:val="5F4678B1"/>
    <w:rsid w:val="5FEB66AA"/>
    <w:rsid w:val="611C2A4E"/>
    <w:rsid w:val="61ED0983"/>
    <w:rsid w:val="621A2785"/>
    <w:rsid w:val="62380621"/>
    <w:rsid w:val="62882906"/>
    <w:rsid w:val="6296592A"/>
    <w:rsid w:val="62AA63A9"/>
    <w:rsid w:val="64653D4C"/>
    <w:rsid w:val="64821F10"/>
    <w:rsid w:val="64BB7C34"/>
    <w:rsid w:val="657A4758"/>
    <w:rsid w:val="693B1A2C"/>
    <w:rsid w:val="6BDD159D"/>
    <w:rsid w:val="70561C9A"/>
    <w:rsid w:val="71AF52DC"/>
    <w:rsid w:val="71C15269"/>
    <w:rsid w:val="723D0CF1"/>
    <w:rsid w:val="752D41F9"/>
    <w:rsid w:val="77F770D8"/>
    <w:rsid w:val="783F1A66"/>
    <w:rsid w:val="786A32D4"/>
    <w:rsid w:val="788155F2"/>
    <w:rsid w:val="789E6C8B"/>
    <w:rsid w:val="78EF290F"/>
    <w:rsid w:val="7A794B87"/>
    <w:rsid w:val="7ACB2BF8"/>
    <w:rsid w:val="7E0E41C6"/>
    <w:rsid w:val="7E3A70C2"/>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ind w:firstLine="640"/>
    </w:pPr>
    <w:rPr>
      <w:rFonts w:ascii="仿宋_GB2312" w:eastAsia="仿宋_GB2312"/>
      <w:bCs/>
      <w:sz w:val="32"/>
      <w:szCs w:val="32"/>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paragraph" w:styleId="11">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2">
    <w:name w:val="页脚 Char"/>
    <w:basedOn w:val="9"/>
    <w:link w:val="4"/>
    <w:autoRedefine/>
    <w:qFormat/>
    <w:uiPriority w:val="99"/>
    <w:rPr>
      <w:kern w:val="2"/>
      <w:sz w:val="18"/>
      <w:szCs w:val="18"/>
    </w:rPr>
  </w:style>
  <w:style w:type="character" w:customStyle="1" w:styleId="13">
    <w:name w:val="font41"/>
    <w:basedOn w:val="9"/>
    <w:autoRedefine/>
    <w:qFormat/>
    <w:uiPriority w:val="0"/>
    <w:rPr>
      <w:rFonts w:hint="eastAsia" w:ascii="宋体" w:hAnsi="宋体" w:eastAsia="宋体" w:cs="宋体"/>
      <w:color w:val="000000"/>
      <w:sz w:val="18"/>
      <w:szCs w:val="18"/>
      <w:u w:val="none"/>
    </w:rPr>
  </w:style>
  <w:style w:type="character" w:customStyle="1" w:styleId="14">
    <w:name w:val="font51"/>
    <w:basedOn w:val="9"/>
    <w:autoRedefine/>
    <w:qFormat/>
    <w:uiPriority w:val="0"/>
    <w:rPr>
      <w:rFonts w:hint="default" w:ascii="Times New Roman" w:hAnsi="Times New Roman" w:cs="Times New Roman"/>
      <w:color w:val="000000"/>
      <w:sz w:val="18"/>
      <w:szCs w:val="18"/>
      <w:u w:val="none"/>
    </w:rPr>
  </w:style>
  <w:style w:type="character" w:customStyle="1" w:styleId="15">
    <w:name w:val="font71"/>
    <w:basedOn w:val="9"/>
    <w:autoRedefine/>
    <w:qFormat/>
    <w:uiPriority w:val="0"/>
    <w:rPr>
      <w:rFonts w:hint="eastAsia" w:ascii="宋体" w:hAnsi="宋体" w:eastAsia="宋体" w:cs="宋体"/>
      <w:color w:val="000000"/>
      <w:sz w:val="18"/>
      <w:szCs w:val="18"/>
      <w:u w:val="none"/>
    </w:rPr>
  </w:style>
  <w:style w:type="character" w:customStyle="1" w:styleId="16">
    <w:name w:val="font61"/>
    <w:basedOn w:val="9"/>
    <w:autoRedefine/>
    <w:qFormat/>
    <w:uiPriority w:val="0"/>
    <w:rPr>
      <w:rFonts w:hint="default" w:ascii="Times New Roman" w:hAnsi="Times New Roman" w:cs="Times New Roman"/>
      <w:color w:val="000000"/>
      <w:sz w:val="18"/>
      <w:szCs w:val="18"/>
      <w:u w:val="none"/>
    </w:rPr>
  </w:style>
  <w:style w:type="character" w:customStyle="1" w:styleId="17">
    <w:name w:val="font11"/>
    <w:basedOn w:val="9"/>
    <w:autoRedefine/>
    <w:qFormat/>
    <w:uiPriority w:val="0"/>
    <w:rPr>
      <w:rFonts w:hint="eastAsia" w:ascii="宋体" w:hAnsi="宋体" w:eastAsia="宋体" w:cs="宋体"/>
      <w:color w:val="000000"/>
      <w:sz w:val="18"/>
      <w:szCs w:val="18"/>
      <w:u w:val="none"/>
    </w:rPr>
  </w:style>
  <w:style w:type="character" w:customStyle="1" w:styleId="18">
    <w:name w:val="font81"/>
    <w:basedOn w:val="9"/>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1765</Words>
  <Characters>1839</Characters>
  <Lines>56</Lines>
  <Paragraphs>15</Paragraphs>
  <TotalTime>19</TotalTime>
  <ScaleCrop>false</ScaleCrop>
  <LinksUpToDate>false</LinksUpToDate>
  <CharactersWithSpaces>1857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寒仙15869887698</cp:lastModifiedBy>
  <cp:lastPrinted>2024-11-07T02:01:00Z</cp:lastPrinted>
  <dcterms:modified xsi:type="dcterms:W3CDTF">2024-11-08T02:47:15Z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B79B284F050347C8BF661A836D12526C_12</vt:lpwstr>
  </property>
</Properties>
</file>