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4619AC">
      <w:pPr>
        <w:contextualSpacing/>
        <w:rPr>
          <w:rFonts w:ascii="方正小标宋简体" w:hAnsi="方正小标宋简体" w:eastAsia="方正小标宋简体" w:cs="方正小标宋简体"/>
          <w:bCs/>
          <w:color w:val="000000" w:themeColor="text1"/>
          <w:sz w:val="56"/>
          <w:szCs w:val="56"/>
        </w:rPr>
      </w:pPr>
    </w:p>
    <w:p w14:paraId="5E31BC63">
      <w:pPr>
        <w:contextualSpacing/>
        <w:jc w:val="center"/>
        <w:outlineLvl w:val="0"/>
        <w:rPr>
          <w:rFonts w:ascii="方正隶书简体" w:hAnsi="方正隶书简体" w:eastAsia="方正隶书简体" w:cs="方正隶书简体"/>
          <w:bCs/>
          <w:color w:val="000000" w:themeColor="text1"/>
          <w:sz w:val="72"/>
          <w:szCs w:val="72"/>
        </w:rPr>
      </w:pPr>
      <w:bookmarkStart w:id="0" w:name="_Toc4276"/>
      <w:bookmarkStart w:id="1" w:name="_Toc5626"/>
      <w:bookmarkStart w:id="2" w:name="_Toc10962"/>
      <w:bookmarkStart w:id="3" w:name="_Toc16414"/>
      <w:bookmarkStart w:id="4" w:name="_Toc21653"/>
      <w:bookmarkStart w:id="5" w:name="_Toc19201"/>
      <w:bookmarkStart w:id="6" w:name="_Toc14466"/>
      <w:bookmarkStart w:id="7" w:name="_Toc28944"/>
      <w:bookmarkStart w:id="8" w:name="_Toc21283"/>
      <w:bookmarkStart w:id="9" w:name="_Toc18168"/>
      <w:r>
        <w:rPr>
          <w:rFonts w:hint="eastAsia" w:ascii="黑体" w:hAnsi="黑体" w:eastAsia="黑体" w:cs="黑体"/>
          <w:bCs/>
          <w:color w:val="000000" w:themeColor="text1"/>
          <w:sz w:val="56"/>
          <w:szCs w:val="56"/>
        </w:rPr>
        <w:t>邵阳市邵阳县秸秆露天禁烧区</w:t>
      </w:r>
      <w:bookmarkEnd w:id="0"/>
      <w:bookmarkEnd w:id="1"/>
      <w:bookmarkEnd w:id="2"/>
      <w:bookmarkEnd w:id="3"/>
      <w:bookmarkEnd w:id="4"/>
      <w:bookmarkEnd w:id="5"/>
      <w:bookmarkEnd w:id="6"/>
      <w:bookmarkEnd w:id="7"/>
      <w:bookmarkEnd w:id="8"/>
      <w:r>
        <w:rPr>
          <w:rFonts w:hint="eastAsia" w:ascii="黑体" w:hAnsi="黑体" w:eastAsia="黑体" w:cs="黑体"/>
          <w:bCs/>
          <w:color w:val="000000" w:themeColor="text1"/>
          <w:sz w:val="56"/>
          <w:szCs w:val="56"/>
        </w:rPr>
        <w:t>、限烧区</w:t>
      </w:r>
      <w:bookmarkEnd w:id="9"/>
      <w:r>
        <w:rPr>
          <w:rFonts w:hint="eastAsia" w:ascii="黑体" w:hAnsi="黑体" w:eastAsia="黑体" w:cs="黑体"/>
          <w:bCs/>
          <w:color w:val="000000" w:themeColor="text1"/>
          <w:sz w:val="56"/>
          <w:szCs w:val="56"/>
        </w:rPr>
        <w:t>划定</w:t>
      </w:r>
      <w:bookmarkStart w:id="10" w:name="_Toc2"/>
      <w:bookmarkStart w:id="11" w:name="_Toc24803"/>
      <w:bookmarkStart w:id="12" w:name="_Toc10260"/>
      <w:bookmarkStart w:id="13" w:name="_Toc1865"/>
      <w:bookmarkStart w:id="14" w:name="_Toc11408"/>
      <w:bookmarkStart w:id="15" w:name="_Toc9152"/>
      <w:bookmarkStart w:id="16" w:name="_Toc3551"/>
      <w:bookmarkStart w:id="17" w:name="_Toc29004"/>
      <w:bookmarkStart w:id="18" w:name="_Toc22035"/>
    </w:p>
    <w:bookmarkEnd w:id="10"/>
    <w:bookmarkEnd w:id="11"/>
    <w:bookmarkEnd w:id="12"/>
    <w:bookmarkEnd w:id="13"/>
    <w:bookmarkEnd w:id="14"/>
    <w:bookmarkEnd w:id="15"/>
    <w:bookmarkEnd w:id="16"/>
    <w:bookmarkEnd w:id="17"/>
    <w:bookmarkEnd w:id="18"/>
    <w:p w14:paraId="682CDDFF">
      <w:pPr>
        <w:pStyle w:val="23"/>
        <w:jc w:val="center"/>
        <w:outlineLvl w:val="0"/>
        <w:rPr>
          <w:rFonts w:ascii="方正隶书简体" w:hAnsi="方正隶书简体" w:eastAsia="方正隶书简体" w:cs="方正隶书简体"/>
          <w:bCs/>
          <w:color w:val="000000" w:themeColor="text1"/>
          <w:sz w:val="72"/>
          <w:szCs w:val="72"/>
        </w:rPr>
      </w:pPr>
    </w:p>
    <w:p w14:paraId="4E43F8EB">
      <w:pPr>
        <w:pStyle w:val="23"/>
        <w:jc w:val="center"/>
        <w:outlineLvl w:val="0"/>
        <w:rPr>
          <w:rFonts w:ascii="方正隶书简体" w:hAnsi="方正隶书简体" w:eastAsia="方正隶书简体" w:cs="方正隶书简体"/>
          <w:bCs/>
          <w:color w:val="000000" w:themeColor="text1"/>
          <w:sz w:val="72"/>
          <w:szCs w:val="72"/>
        </w:rPr>
      </w:pPr>
    </w:p>
    <w:p w14:paraId="2E7DB345">
      <w:pPr>
        <w:ind w:firstLine="3916" w:firstLineChars="544"/>
        <w:contextualSpacing/>
        <w:rPr>
          <w:rFonts w:hint="eastAsia" w:ascii="方正隶书简体" w:hAnsi="方正隶书简体" w:eastAsia="方正隶书简体" w:cs="方正隶书简体"/>
          <w:bCs/>
          <w:color w:val="000000" w:themeColor="text1"/>
          <w:sz w:val="72"/>
          <w:szCs w:val="72"/>
          <w:lang w:eastAsia="zh-CN"/>
        </w:rPr>
      </w:pPr>
      <w:r>
        <w:rPr>
          <w:rFonts w:hint="eastAsia" w:ascii="方正隶书简体" w:hAnsi="方正隶书简体" w:eastAsia="方正隶书简体" w:cs="方正隶书简体"/>
          <w:bCs/>
          <w:color w:val="000000" w:themeColor="text1"/>
          <w:sz w:val="72"/>
          <w:szCs w:val="72"/>
          <w:lang w:val="en-US" w:eastAsia="zh-CN"/>
        </w:rPr>
        <w:t>划</w:t>
      </w:r>
    </w:p>
    <w:p w14:paraId="442D1D56">
      <w:pPr>
        <w:ind w:firstLine="3916" w:firstLineChars="544"/>
        <w:contextualSpacing/>
        <w:rPr>
          <w:rFonts w:hint="eastAsia" w:ascii="方正隶书简体" w:hAnsi="方正隶书简体" w:eastAsia="方正隶书简体" w:cs="方正隶书简体"/>
          <w:bCs/>
          <w:color w:val="000000" w:themeColor="text1"/>
          <w:sz w:val="72"/>
          <w:szCs w:val="72"/>
          <w:lang w:eastAsia="zh-CN"/>
        </w:rPr>
      </w:pPr>
      <w:r>
        <w:rPr>
          <w:rFonts w:hint="eastAsia" w:ascii="方正隶书简体" w:hAnsi="方正隶书简体" w:eastAsia="方正隶书简体" w:cs="方正隶书简体"/>
          <w:bCs/>
          <w:color w:val="000000" w:themeColor="text1"/>
          <w:sz w:val="72"/>
          <w:szCs w:val="72"/>
          <w:lang w:val="en-US" w:eastAsia="zh-CN"/>
        </w:rPr>
        <w:t>定</w:t>
      </w:r>
    </w:p>
    <w:p w14:paraId="6DD05C2D">
      <w:pPr>
        <w:ind w:firstLine="3916" w:firstLineChars="544"/>
        <w:contextualSpacing/>
        <w:rPr>
          <w:rFonts w:hint="eastAsia" w:ascii="方正隶书简体" w:hAnsi="方正隶书简体" w:eastAsia="方正隶书简体" w:cs="方正隶书简体"/>
          <w:bCs/>
          <w:color w:val="000000" w:themeColor="text1"/>
          <w:sz w:val="72"/>
          <w:szCs w:val="72"/>
          <w:lang w:eastAsia="zh-CN"/>
        </w:rPr>
      </w:pPr>
      <w:r>
        <w:rPr>
          <w:rFonts w:hint="eastAsia" w:ascii="方正隶书简体" w:hAnsi="方正隶书简体" w:eastAsia="方正隶书简体" w:cs="方正隶书简体"/>
          <w:bCs/>
          <w:color w:val="000000" w:themeColor="text1"/>
          <w:sz w:val="72"/>
          <w:szCs w:val="72"/>
          <w:lang w:val="en-US" w:eastAsia="zh-CN"/>
        </w:rPr>
        <w:t>方</w:t>
      </w:r>
    </w:p>
    <w:p w14:paraId="3E25EDDD">
      <w:pPr>
        <w:ind w:firstLine="3916" w:firstLineChars="544"/>
        <w:contextualSpacing/>
        <w:rPr>
          <w:rFonts w:hint="eastAsia" w:ascii="Times New Roman" w:hAnsi="Times New Roman" w:eastAsia="方正仿宋_GBK" w:cs="Times New Roman"/>
          <w:b/>
          <w:color w:val="000000" w:themeColor="text1"/>
          <w:sz w:val="24"/>
          <w:lang w:eastAsia="zh-CN"/>
        </w:rPr>
      </w:pPr>
      <w:r>
        <w:rPr>
          <w:rFonts w:hint="eastAsia" w:ascii="方正隶书简体" w:hAnsi="方正隶书简体" w:eastAsia="方正隶书简体" w:cs="方正隶书简体"/>
          <w:bCs/>
          <w:color w:val="000000" w:themeColor="text1"/>
          <w:sz w:val="72"/>
          <w:szCs w:val="72"/>
          <w:lang w:val="en-US" w:eastAsia="zh-CN"/>
        </w:rPr>
        <w:t>案</w:t>
      </w:r>
    </w:p>
    <w:p w14:paraId="411948DE">
      <w:pPr>
        <w:ind w:firstLine="723"/>
        <w:contextualSpacing/>
        <w:jc w:val="center"/>
        <w:rPr>
          <w:rFonts w:ascii="Times New Roman" w:hAnsi="Times New Roman" w:eastAsia="方正仿宋_GBK" w:cs="Times New Roman"/>
          <w:b/>
          <w:color w:val="000000" w:themeColor="text1"/>
          <w:sz w:val="24"/>
        </w:rPr>
      </w:pPr>
    </w:p>
    <w:p w14:paraId="42219E52">
      <w:pPr>
        <w:ind w:firstLine="723"/>
        <w:contextualSpacing/>
        <w:jc w:val="center"/>
        <w:rPr>
          <w:rFonts w:ascii="Times New Roman" w:hAnsi="Times New Roman" w:eastAsia="方正仿宋_GBK" w:cs="Times New Roman"/>
          <w:b/>
          <w:color w:val="000000" w:themeColor="text1"/>
          <w:sz w:val="24"/>
        </w:rPr>
      </w:pPr>
    </w:p>
    <w:p w14:paraId="5E89A4AE">
      <w:pPr>
        <w:ind w:firstLine="723"/>
        <w:contextualSpacing/>
        <w:jc w:val="center"/>
        <w:rPr>
          <w:rFonts w:ascii="Times New Roman" w:hAnsi="Times New Roman" w:eastAsia="方正仿宋_GBK" w:cs="Times New Roman"/>
          <w:b/>
          <w:color w:val="000000" w:themeColor="text1"/>
          <w:sz w:val="24"/>
        </w:rPr>
      </w:pPr>
    </w:p>
    <w:p w14:paraId="226BC0C0">
      <w:pPr>
        <w:ind w:firstLine="723"/>
        <w:contextualSpacing/>
        <w:jc w:val="center"/>
        <w:rPr>
          <w:rFonts w:ascii="Times New Roman" w:hAnsi="Times New Roman" w:eastAsia="方正仿宋_GBK" w:cs="Times New Roman"/>
          <w:b/>
          <w:color w:val="000000" w:themeColor="text1"/>
          <w:sz w:val="24"/>
        </w:rPr>
      </w:pPr>
    </w:p>
    <w:p w14:paraId="173BD7B1">
      <w:pPr>
        <w:ind w:firstLine="723"/>
        <w:contextualSpacing/>
        <w:jc w:val="center"/>
        <w:rPr>
          <w:rFonts w:ascii="Times New Roman" w:hAnsi="Times New Roman" w:eastAsia="方正仿宋_GBK" w:cs="Times New Roman"/>
          <w:b/>
          <w:color w:val="000000" w:themeColor="text1"/>
          <w:sz w:val="24"/>
        </w:rPr>
      </w:pPr>
    </w:p>
    <w:p w14:paraId="61EF6D4B">
      <w:pPr>
        <w:ind w:firstLine="723"/>
        <w:contextualSpacing/>
        <w:jc w:val="center"/>
        <w:rPr>
          <w:rFonts w:ascii="Times New Roman" w:hAnsi="Times New Roman" w:eastAsia="方正仿宋_GBK" w:cs="Times New Roman"/>
          <w:b/>
          <w:color w:val="000000" w:themeColor="text1"/>
          <w:sz w:val="24"/>
        </w:rPr>
      </w:pPr>
    </w:p>
    <w:p w14:paraId="66DE09EF">
      <w:pPr>
        <w:pStyle w:val="23"/>
        <w:rPr>
          <w:rFonts w:ascii="楷体_GB2312" w:hAnsi="楷体_GB2312" w:eastAsia="楷体_GB2312" w:cs="楷体_GB2312"/>
          <w:color w:val="000000" w:themeColor="text1"/>
        </w:rPr>
      </w:pPr>
    </w:p>
    <w:p w14:paraId="5E541640">
      <w:pPr>
        <w:pStyle w:val="6"/>
        <w:ind w:firstLine="2640" w:firstLineChars="600"/>
        <w:rPr>
          <w:rFonts w:asciiTheme="majorEastAsia" w:hAnsiTheme="majorEastAsia" w:eastAsiaTheme="majorEastAsia" w:cstheme="majorEastAsia"/>
          <w:bCs/>
          <w:sz w:val="44"/>
          <w:szCs w:val="44"/>
        </w:rPr>
      </w:pPr>
      <w:r>
        <w:rPr>
          <w:rFonts w:hint="eastAsia" w:asciiTheme="majorEastAsia" w:hAnsiTheme="majorEastAsia" w:eastAsiaTheme="majorEastAsia" w:cstheme="majorEastAsia"/>
          <w:bCs/>
          <w:sz w:val="44"/>
          <w:szCs w:val="44"/>
        </w:rPr>
        <w:t>邵阳县人民政府</w:t>
      </w:r>
    </w:p>
    <w:p w14:paraId="2B77F7DC">
      <w:pPr>
        <w:pStyle w:val="6"/>
        <w:ind w:firstLine="0" w:firstLineChars="0"/>
        <w:jc w:val="center"/>
        <w:rPr>
          <w:rFonts w:asciiTheme="majorEastAsia" w:hAnsiTheme="majorEastAsia" w:eastAsiaTheme="majorEastAsia" w:cstheme="majorEastAsia"/>
          <w:bCs/>
          <w:sz w:val="44"/>
          <w:szCs w:val="44"/>
        </w:rPr>
      </w:pPr>
      <w:r>
        <w:rPr>
          <w:rFonts w:hint="eastAsia" w:asciiTheme="majorEastAsia" w:hAnsiTheme="majorEastAsia" w:eastAsiaTheme="majorEastAsia" w:cstheme="majorEastAsia"/>
          <w:bCs/>
          <w:sz w:val="44"/>
          <w:szCs w:val="44"/>
        </w:rPr>
        <w:t>2025年</w:t>
      </w:r>
    </w:p>
    <w:p w14:paraId="444D89C2">
      <w:pPr>
        <w:pStyle w:val="6"/>
        <w:ind w:firstLine="2640" w:firstLineChars="600"/>
        <w:rPr>
          <w:rFonts w:asciiTheme="majorEastAsia" w:hAnsiTheme="majorEastAsia" w:eastAsiaTheme="majorEastAsia" w:cstheme="majorEastAsia"/>
          <w:bCs/>
          <w:sz w:val="44"/>
          <w:szCs w:val="44"/>
        </w:rPr>
        <w:sectPr>
          <w:footerReference r:id="rId3" w:type="default"/>
          <w:pgSz w:w="11906" w:h="16838"/>
          <w:pgMar w:top="1440" w:right="1627" w:bottom="1440" w:left="1627" w:header="851" w:footer="992" w:gutter="0"/>
          <w:pgNumType w:start="1"/>
          <w:cols w:space="720" w:num="1"/>
          <w:docGrid w:type="lines" w:linePitch="312" w:charSpace="0"/>
        </w:sectPr>
      </w:pPr>
    </w:p>
    <w:p w14:paraId="19D4FB95">
      <w:pPr>
        <w:jc w:val="center"/>
        <w:rPr>
          <w:b/>
          <w:bCs/>
          <w:szCs w:val="28"/>
        </w:rPr>
      </w:pPr>
      <w:r>
        <w:rPr>
          <w:rFonts w:ascii="宋体" w:hAnsi="宋体" w:eastAsia="宋体"/>
          <w:b/>
          <w:bCs/>
          <w:szCs w:val="28"/>
        </w:rPr>
        <w:t>目录</w:t>
      </w:r>
    </w:p>
    <w:p w14:paraId="3A70B356">
      <w:pPr>
        <w:pStyle w:val="15"/>
        <w:tabs>
          <w:tab w:val="right" w:leader="dot" w:pos="8306"/>
        </w:tabs>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"_Toc2086" </w:instrText>
      </w:r>
      <w:r>
        <w:fldChar w:fldCharType="separate"/>
      </w:r>
      <w:r>
        <w:rPr>
          <w:rFonts w:hint="eastAsia"/>
        </w:rPr>
        <w:t>第一章 总论</w:t>
      </w:r>
      <w:r>
        <w:tab/>
      </w:r>
      <w:r>
        <w:fldChar w:fldCharType="begin"/>
      </w:r>
      <w:r>
        <w:instrText xml:space="preserve"> PAGEREF _Toc2086 \h </w:instrText>
      </w:r>
      <w:r>
        <w:fldChar w:fldCharType="separate"/>
      </w:r>
      <w:r>
        <w:t>1</w:t>
      </w:r>
      <w:r>
        <w:fldChar w:fldCharType="end"/>
      </w:r>
      <w:r>
        <w:fldChar w:fldCharType="end"/>
      </w:r>
    </w:p>
    <w:p w14:paraId="74447DF0">
      <w:pPr>
        <w:pStyle w:val="16"/>
        <w:tabs>
          <w:tab w:val="right" w:leader="dot" w:pos="8306"/>
        </w:tabs>
        <w:ind w:left="560"/>
      </w:pPr>
      <w:r>
        <w:fldChar w:fldCharType="begin"/>
      </w:r>
      <w:r>
        <w:instrText xml:space="preserve"> HYPERLINK \l "_Toc18933" </w:instrText>
      </w:r>
      <w:r>
        <w:fldChar w:fldCharType="separate"/>
      </w:r>
      <w:r>
        <w:rPr>
          <w:rFonts w:hint="eastAsia"/>
        </w:rPr>
        <w:t>1.1划定目的</w:t>
      </w:r>
      <w:r>
        <w:tab/>
      </w:r>
      <w:r>
        <w:fldChar w:fldCharType="begin"/>
      </w:r>
      <w:r>
        <w:instrText xml:space="preserve"> PAGEREF _Toc18933 \h </w:instrText>
      </w:r>
      <w:r>
        <w:fldChar w:fldCharType="separate"/>
      </w:r>
      <w:r>
        <w:t>1</w:t>
      </w:r>
      <w:r>
        <w:fldChar w:fldCharType="end"/>
      </w:r>
      <w:r>
        <w:fldChar w:fldCharType="end"/>
      </w:r>
    </w:p>
    <w:p w14:paraId="284C6A08">
      <w:pPr>
        <w:pStyle w:val="16"/>
        <w:tabs>
          <w:tab w:val="right" w:leader="dot" w:pos="8306"/>
        </w:tabs>
        <w:ind w:left="560"/>
      </w:pPr>
      <w:r>
        <w:fldChar w:fldCharType="begin"/>
      </w:r>
      <w:r>
        <w:instrText xml:space="preserve"> HYPERLINK \l "_Toc10036" </w:instrText>
      </w:r>
      <w:r>
        <w:fldChar w:fldCharType="separate"/>
      </w:r>
      <w:r>
        <w:rPr>
          <w:rFonts w:hint="eastAsia"/>
        </w:rPr>
        <w:t>1.2划定依据</w:t>
      </w:r>
      <w:r>
        <w:tab/>
      </w:r>
      <w:r>
        <w:fldChar w:fldCharType="begin"/>
      </w:r>
      <w:r>
        <w:instrText xml:space="preserve"> PAGEREF _Toc10036 \h </w:instrText>
      </w:r>
      <w:r>
        <w:fldChar w:fldCharType="separate"/>
      </w:r>
      <w:r>
        <w:t>1</w:t>
      </w:r>
      <w:r>
        <w:fldChar w:fldCharType="end"/>
      </w:r>
      <w:r>
        <w:fldChar w:fldCharType="end"/>
      </w:r>
    </w:p>
    <w:p w14:paraId="0B5D566A">
      <w:pPr>
        <w:pStyle w:val="16"/>
        <w:tabs>
          <w:tab w:val="right" w:leader="dot" w:pos="8306"/>
        </w:tabs>
        <w:ind w:left="560"/>
      </w:pPr>
      <w:r>
        <w:fldChar w:fldCharType="begin"/>
      </w:r>
      <w:r>
        <w:instrText xml:space="preserve"> HYPERLINK \l "_Toc23715" </w:instrText>
      </w:r>
      <w:r>
        <w:fldChar w:fldCharType="separate"/>
      </w:r>
      <w:r>
        <w:rPr>
          <w:rFonts w:hint="eastAsia"/>
        </w:rPr>
        <w:t>1.3划定总体工作情况</w:t>
      </w:r>
      <w:r>
        <w:tab/>
      </w:r>
      <w:r>
        <w:fldChar w:fldCharType="begin"/>
      </w:r>
      <w:r>
        <w:instrText xml:space="preserve"> PAGEREF _Toc23715 \h </w:instrText>
      </w:r>
      <w:r>
        <w:fldChar w:fldCharType="separate"/>
      </w:r>
      <w:r>
        <w:t>1</w:t>
      </w:r>
      <w:r>
        <w:fldChar w:fldCharType="end"/>
      </w:r>
      <w:r>
        <w:fldChar w:fldCharType="end"/>
      </w:r>
    </w:p>
    <w:p w14:paraId="7D2ED87B">
      <w:pPr>
        <w:pStyle w:val="15"/>
        <w:tabs>
          <w:tab w:val="right" w:leader="dot" w:pos="8306"/>
        </w:tabs>
      </w:pPr>
      <w:r>
        <w:fldChar w:fldCharType="begin"/>
      </w:r>
      <w:r>
        <w:instrText xml:space="preserve"> HYPERLINK \l "_Toc30013" </w:instrText>
      </w:r>
      <w:r>
        <w:fldChar w:fldCharType="separate"/>
      </w:r>
      <w:r>
        <w:rPr>
          <w:rFonts w:hint="eastAsia"/>
        </w:rPr>
        <w:t>第二章 区域概况</w:t>
      </w:r>
      <w:r>
        <w:tab/>
      </w:r>
      <w:r>
        <w:fldChar w:fldCharType="begin"/>
      </w:r>
      <w:r>
        <w:instrText xml:space="preserve"> PAGEREF _Toc30013 \h </w:instrText>
      </w:r>
      <w:r>
        <w:fldChar w:fldCharType="separate"/>
      </w:r>
      <w:r>
        <w:t>5</w:t>
      </w:r>
      <w:r>
        <w:fldChar w:fldCharType="end"/>
      </w:r>
      <w:r>
        <w:fldChar w:fldCharType="end"/>
      </w:r>
    </w:p>
    <w:p w14:paraId="4FDB6DD6">
      <w:pPr>
        <w:pStyle w:val="16"/>
        <w:tabs>
          <w:tab w:val="right" w:leader="dot" w:pos="8306"/>
        </w:tabs>
        <w:ind w:left="560"/>
      </w:pPr>
      <w:r>
        <w:fldChar w:fldCharType="begin"/>
      </w:r>
      <w:r>
        <w:instrText xml:space="preserve"> HYPERLINK \l "_Toc24424" </w:instrText>
      </w:r>
      <w:r>
        <w:fldChar w:fldCharType="separate"/>
      </w:r>
      <w:r>
        <w:rPr>
          <w:rFonts w:hint="eastAsia"/>
        </w:rPr>
        <w:t>2.1自然环境概况</w:t>
      </w:r>
      <w:r>
        <w:tab/>
      </w:r>
      <w:r>
        <w:fldChar w:fldCharType="begin"/>
      </w:r>
      <w:r>
        <w:instrText xml:space="preserve"> PAGEREF _Toc24424 \h </w:instrText>
      </w:r>
      <w:r>
        <w:fldChar w:fldCharType="separate"/>
      </w:r>
      <w:r>
        <w:t>5</w:t>
      </w:r>
      <w:r>
        <w:fldChar w:fldCharType="end"/>
      </w:r>
      <w:r>
        <w:fldChar w:fldCharType="end"/>
      </w:r>
    </w:p>
    <w:p w14:paraId="09E2A15B">
      <w:pPr>
        <w:pStyle w:val="11"/>
        <w:tabs>
          <w:tab w:val="right" w:leader="dot" w:pos="8306"/>
        </w:tabs>
        <w:ind w:left="1120"/>
      </w:pPr>
      <w:r>
        <w:fldChar w:fldCharType="begin"/>
      </w:r>
      <w:r>
        <w:instrText xml:space="preserve"> HYPERLINK \l "_Toc10479" </w:instrText>
      </w:r>
      <w:r>
        <w:fldChar w:fldCharType="separate"/>
      </w:r>
      <w:r>
        <w:rPr>
          <w:rFonts w:hint="eastAsia"/>
        </w:rPr>
        <w:t>2.1.1地理位置</w:t>
      </w:r>
      <w:r>
        <w:tab/>
      </w:r>
      <w:r>
        <w:fldChar w:fldCharType="begin"/>
      </w:r>
      <w:r>
        <w:instrText xml:space="preserve"> PAGEREF _Toc10479 \h </w:instrText>
      </w:r>
      <w:r>
        <w:fldChar w:fldCharType="separate"/>
      </w:r>
      <w:r>
        <w:t>5</w:t>
      </w:r>
      <w:r>
        <w:fldChar w:fldCharType="end"/>
      </w:r>
      <w:r>
        <w:fldChar w:fldCharType="end"/>
      </w:r>
    </w:p>
    <w:p w14:paraId="67F4F33A">
      <w:pPr>
        <w:pStyle w:val="11"/>
        <w:tabs>
          <w:tab w:val="right" w:leader="dot" w:pos="8306"/>
        </w:tabs>
        <w:ind w:left="1120"/>
      </w:pPr>
      <w:r>
        <w:fldChar w:fldCharType="begin"/>
      </w:r>
      <w:r>
        <w:instrText xml:space="preserve"> HYPERLINK \l "_Toc2165" </w:instrText>
      </w:r>
      <w:r>
        <w:fldChar w:fldCharType="separate"/>
      </w:r>
      <w:r>
        <w:rPr>
          <w:rFonts w:hint="eastAsia"/>
        </w:rPr>
        <w:t>2.1.2地形地貌及土地利用</w:t>
      </w:r>
      <w:r>
        <w:tab/>
      </w:r>
      <w:r>
        <w:fldChar w:fldCharType="begin"/>
      </w:r>
      <w:r>
        <w:instrText xml:space="preserve"> PAGEREF _Toc2165 \h </w:instrText>
      </w:r>
      <w:r>
        <w:fldChar w:fldCharType="separate"/>
      </w:r>
      <w:r>
        <w:t>5</w:t>
      </w:r>
      <w:r>
        <w:fldChar w:fldCharType="end"/>
      </w:r>
      <w:r>
        <w:fldChar w:fldCharType="end"/>
      </w:r>
    </w:p>
    <w:p w14:paraId="0E864EB2">
      <w:pPr>
        <w:pStyle w:val="11"/>
        <w:tabs>
          <w:tab w:val="right" w:leader="dot" w:pos="8306"/>
        </w:tabs>
        <w:ind w:left="1120"/>
      </w:pPr>
      <w:r>
        <w:fldChar w:fldCharType="begin"/>
      </w:r>
      <w:r>
        <w:instrText xml:space="preserve"> HYPERLINK \l "_Toc30980" </w:instrText>
      </w:r>
      <w:r>
        <w:fldChar w:fldCharType="separate"/>
      </w:r>
      <w:r>
        <w:rPr>
          <w:rFonts w:hint="eastAsia"/>
        </w:rPr>
        <w:t>2.1.3气象条件</w:t>
      </w:r>
      <w:r>
        <w:tab/>
      </w:r>
      <w:r>
        <w:fldChar w:fldCharType="begin"/>
      </w:r>
      <w:r>
        <w:instrText xml:space="preserve"> PAGEREF _Toc30980 \h </w:instrText>
      </w:r>
      <w:r>
        <w:fldChar w:fldCharType="separate"/>
      </w:r>
      <w:r>
        <w:t>6</w:t>
      </w:r>
      <w:r>
        <w:fldChar w:fldCharType="end"/>
      </w:r>
      <w:r>
        <w:fldChar w:fldCharType="end"/>
      </w:r>
    </w:p>
    <w:p w14:paraId="21E959EB">
      <w:pPr>
        <w:pStyle w:val="11"/>
        <w:tabs>
          <w:tab w:val="right" w:leader="dot" w:pos="8306"/>
        </w:tabs>
        <w:ind w:left="1120"/>
      </w:pPr>
      <w:r>
        <w:fldChar w:fldCharType="begin"/>
      </w:r>
      <w:r>
        <w:instrText xml:space="preserve"> HYPERLINK \l "_Toc28577" </w:instrText>
      </w:r>
      <w:r>
        <w:fldChar w:fldCharType="separate"/>
      </w:r>
      <w:r>
        <w:rPr>
          <w:rFonts w:hint="eastAsia"/>
        </w:rPr>
        <w:t>2.1.4资源环境</w:t>
      </w:r>
      <w:r>
        <w:tab/>
      </w:r>
      <w:r>
        <w:fldChar w:fldCharType="begin"/>
      </w:r>
      <w:r>
        <w:instrText xml:space="preserve"> PAGEREF _Toc28577 \h </w:instrText>
      </w:r>
      <w:r>
        <w:fldChar w:fldCharType="separate"/>
      </w:r>
      <w:r>
        <w:t>6</w:t>
      </w:r>
      <w:r>
        <w:fldChar w:fldCharType="end"/>
      </w:r>
      <w:r>
        <w:fldChar w:fldCharType="end"/>
      </w:r>
    </w:p>
    <w:p w14:paraId="49932F20">
      <w:pPr>
        <w:pStyle w:val="16"/>
        <w:tabs>
          <w:tab w:val="right" w:leader="dot" w:pos="8306"/>
        </w:tabs>
        <w:ind w:left="560"/>
      </w:pPr>
      <w:r>
        <w:fldChar w:fldCharType="begin"/>
      </w:r>
      <w:r>
        <w:instrText xml:space="preserve"> HYPERLINK \l "_Toc4569" </w:instrText>
      </w:r>
      <w:r>
        <w:fldChar w:fldCharType="separate"/>
      </w:r>
      <w:r>
        <w:rPr>
          <w:rFonts w:hint="eastAsia"/>
        </w:rPr>
        <w:t>2.2社会经济状况</w:t>
      </w:r>
      <w:r>
        <w:tab/>
      </w:r>
      <w:r>
        <w:fldChar w:fldCharType="begin"/>
      </w:r>
      <w:r>
        <w:instrText xml:space="preserve"> PAGEREF _Toc4569 \h </w:instrText>
      </w:r>
      <w:r>
        <w:fldChar w:fldCharType="separate"/>
      </w:r>
      <w:r>
        <w:t>8</w:t>
      </w:r>
      <w:r>
        <w:fldChar w:fldCharType="end"/>
      </w:r>
      <w:r>
        <w:fldChar w:fldCharType="end"/>
      </w:r>
    </w:p>
    <w:p w14:paraId="2DE790E2">
      <w:pPr>
        <w:pStyle w:val="16"/>
        <w:tabs>
          <w:tab w:val="right" w:leader="dot" w:pos="8306"/>
        </w:tabs>
        <w:ind w:left="560"/>
      </w:pPr>
      <w:r>
        <w:fldChar w:fldCharType="begin"/>
      </w:r>
      <w:r>
        <w:instrText xml:space="preserve"> HYPERLINK \l "_Toc15414" </w:instrText>
      </w:r>
      <w:r>
        <w:fldChar w:fldCharType="separate"/>
      </w:r>
      <w:r>
        <w:rPr>
          <w:rFonts w:hint="eastAsia"/>
        </w:rPr>
        <w:t>2.3农业生产概况</w:t>
      </w:r>
      <w:r>
        <w:tab/>
      </w:r>
      <w:r>
        <w:fldChar w:fldCharType="begin"/>
      </w:r>
      <w:r>
        <w:instrText xml:space="preserve"> PAGEREF _Toc15414 \h </w:instrText>
      </w:r>
      <w:r>
        <w:fldChar w:fldCharType="separate"/>
      </w:r>
      <w:r>
        <w:t>8</w:t>
      </w:r>
      <w:r>
        <w:fldChar w:fldCharType="end"/>
      </w:r>
      <w:r>
        <w:fldChar w:fldCharType="end"/>
      </w:r>
    </w:p>
    <w:p w14:paraId="1ECA7923">
      <w:pPr>
        <w:pStyle w:val="15"/>
        <w:tabs>
          <w:tab w:val="right" w:leader="dot" w:pos="8306"/>
        </w:tabs>
      </w:pPr>
      <w:r>
        <w:fldChar w:fldCharType="begin"/>
      </w:r>
      <w:r>
        <w:instrText xml:space="preserve"> HYPERLINK \l "_Toc24710" </w:instrText>
      </w:r>
      <w:r>
        <w:fldChar w:fldCharType="separate"/>
      </w:r>
      <w:r>
        <w:rPr>
          <w:rFonts w:hint="eastAsia"/>
        </w:rPr>
        <w:t>第三章 禁烧区与限烧区划定方案及成果</w:t>
      </w:r>
      <w:r>
        <w:tab/>
      </w:r>
      <w:r>
        <w:fldChar w:fldCharType="begin"/>
      </w:r>
      <w:r>
        <w:instrText xml:space="preserve"> PAGEREF _Toc24710 \h </w:instrText>
      </w:r>
      <w:r>
        <w:fldChar w:fldCharType="separate"/>
      </w:r>
      <w:r>
        <w:t>10</w:t>
      </w:r>
      <w:r>
        <w:fldChar w:fldCharType="end"/>
      </w:r>
      <w:r>
        <w:fldChar w:fldCharType="end"/>
      </w:r>
    </w:p>
    <w:p w14:paraId="515FDDF1">
      <w:pPr>
        <w:pStyle w:val="16"/>
        <w:tabs>
          <w:tab w:val="right" w:leader="dot" w:pos="8306"/>
        </w:tabs>
        <w:ind w:left="560"/>
      </w:pPr>
      <w:r>
        <w:fldChar w:fldCharType="begin"/>
      </w:r>
      <w:r>
        <w:instrText xml:space="preserve"> HYPERLINK \l "_Toc17934" </w:instrText>
      </w:r>
      <w:r>
        <w:fldChar w:fldCharType="separate"/>
      </w:r>
      <w:r>
        <w:rPr>
          <w:rFonts w:hint="eastAsia"/>
        </w:rPr>
        <w:t>3.1划定目标与原则</w:t>
      </w:r>
      <w:r>
        <w:tab/>
      </w:r>
      <w:r>
        <w:fldChar w:fldCharType="begin"/>
      </w:r>
      <w:r>
        <w:instrText xml:space="preserve"> PAGEREF _Toc17934 \h </w:instrText>
      </w:r>
      <w:r>
        <w:fldChar w:fldCharType="separate"/>
      </w:r>
      <w:r>
        <w:t>10</w:t>
      </w:r>
      <w:r>
        <w:fldChar w:fldCharType="end"/>
      </w:r>
      <w:r>
        <w:fldChar w:fldCharType="end"/>
      </w:r>
    </w:p>
    <w:p w14:paraId="22C1C583">
      <w:pPr>
        <w:pStyle w:val="16"/>
        <w:tabs>
          <w:tab w:val="right" w:leader="dot" w:pos="8306"/>
        </w:tabs>
        <w:ind w:left="560"/>
      </w:pPr>
      <w:r>
        <w:fldChar w:fldCharType="begin"/>
      </w:r>
      <w:r>
        <w:instrText xml:space="preserve"> HYPERLINK \l "_Toc10232" </w:instrText>
      </w:r>
      <w:r>
        <w:fldChar w:fldCharType="separate"/>
      </w:r>
      <w:r>
        <w:rPr>
          <w:rFonts w:hint="eastAsia"/>
        </w:rPr>
        <w:t>3.2</w:t>
      </w:r>
      <w:r>
        <w:t>划定范围综合分析</w:t>
      </w:r>
      <w:r>
        <w:tab/>
      </w:r>
      <w:r>
        <w:fldChar w:fldCharType="begin"/>
      </w:r>
      <w:r>
        <w:instrText xml:space="preserve"> PAGEREF _Toc10232 \h </w:instrText>
      </w:r>
      <w:r>
        <w:fldChar w:fldCharType="separate"/>
      </w:r>
      <w:r>
        <w:t>10</w:t>
      </w:r>
      <w:r>
        <w:fldChar w:fldCharType="end"/>
      </w:r>
      <w:r>
        <w:fldChar w:fldCharType="end"/>
      </w:r>
    </w:p>
    <w:p w14:paraId="6BEEE153">
      <w:pPr>
        <w:pStyle w:val="11"/>
        <w:tabs>
          <w:tab w:val="right" w:leader="dot" w:pos="8306"/>
        </w:tabs>
        <w:ind w:left="1120"/>
      </w:pPr>
      <w:r>
        <w:fldChar w:fldCharType="begin"/>
      </w:r>
      <w:r>
        <w:instrText xml:space="preserve"> HYPERLINK \l "_Toc27874" </w:instrText>
      </w:r>
      <w:r>
        <w:fldChar w:fldCharType="separate"/>
      </w:r>
      <w:r>
        <w:t>3.</w:t>
      </w:r>
      <w:r>
        <w:rPr>
          <w:rFonts w:hint="eastAsia"/>
        </w:rPr>
        <w:t>2</w:t>
      </w:r>
      <w:r>
        <w:t>.1重点影响空间分析</w:t>
      </w:r>
      <w:r>
        <w:tab/>
      </w:r>
      <w:r>
        <w:fldChar w:fldCharType="begin"/>
      </w:r>
      <w:r>
        <w:instrText xml:space="preserve"> PAGEREF _Toc27874 \h </w:instrText>
      </w:r>
      <w:r>
        <w:fldChar w:fldCharType="separate"/>
      </w:r>
      <w:r>
        <w:t>10</w:t>
      </w:r>
      <w:r>
        <w:fldChar w:fldCharType="end"/>
      </w:r>
      <w:r>
        <w:fldChar w:fldCharType="end"/>
      </w:r>
    </w:p>
    <w:p w14:paraId="7B425769">
      <w:pPr>
        <w:pStyle w:val="11"/>
        <w:tabs>
          <w:tab w:val="right" w:leader="dot" w:pos="8306"/>
        </w:tabs>
        <w:ind w:left="1120"/>
      </w:pPr>
      <w:r>
        <w:fldChar w:fldCharType="begin"/>
      </w:r>
      <w:r>
        <w:instrText xml:space="preserve"> HYPERLINK \l "_Toc14238" </w:instrText>
      </w:r>
      <w:r>
        <w:fldChar w:fldCharType="separate"/>
      </w:r>
      <w:r>
        <w:t>3.</w:t>
      </w:r>
      <w:r>
        <w:rPr>
          <w:rFonts w:hint="eastAsia"/>
        </w:rPr>
        <w:t>2</w:t>
      </w:r>
      <w:r>
        <w:t xml:space="preserve">.2 </w:t>
      </w:r>
      <w:r>
        <w:rPr>
          <w:rFonts w:hint="eastAsia"/>
        </w:rPr>
        <w:t>重</w:t>
      </w:r>
      <w:r>
        <w:t>点空间耕地特征</w:t>
      </w:r>
      <w:r>
        <w:tab/>
      </w:r>
      <w:r>
        <w:fldChar w:fldCharType="begin"/>
      </w:r>
      <w:r>
        <w:instrText xml:space="preserve"> PAGEREF _Toc14238 \h </w:instrText>
      </w:r>
      <w:r>
        <w:fldChar w:fldCharType="separate"/>
      </w:r>
      <w:r>
        <w:t>11</w:t>
      </w:r>
      <w:r>
        <w:fldChar w:fldCharType="end"/>
      </w:r>
      <w:r>
        <w:fldChar w:fldCharType="end"/>
      </w:r>
    </w:p>
    <w:p w14:paraId="20FE4E26">
      <w:pPr>
        <w:pStyle w:val="11"/>
        <w:tabs>
          <w:tab w:val="right" w:leader="dot" w:pos="8306"/>
        </w:tabs>
        <w:ind w:left="1120"/>
      </w:pPr>
      <w:r>
        <w:fldChar w:fldCharType="begin"/>
      </w:r>
      <w:r>
        <w:instrText xml:space="preserve"> HYPERLINK \l "_Toc16047" </w:instrText>
      </w:r>
      <w:r>
        <w:fldChar w:fldCharType="separate"/>
      </w:r>
      <w:r>
        <w:t>3</w:t>
      </w:r>
      <w:r>
        <w:rPr>
          <w:rFonts w:hint="eastAsia"/>
        </w:rPr>
        <w:t>.2.3</w:t>
      </w:r>
      <w:r>
        <w:t>其他范围分析识别</w:t>
      </w:r>
      <w:r>
        <w:tab/>
      </w:r>
      <w:r>
        <w:fldChar w:fldCharType="begin"/>
      </w:r>
      <w:r>
        <w:instrText xml:space="preserve"> PAGEREF _Toc16047 \h </w:instrText>
      </w:r>
      <w:r>
        <w:fldChar w:fldCharType="separate"/>
      </w:r>
      <w:r>
        <w:t>12</w:t>
      </w:r>
      <w:r>
        <w:fldChar w:fldCharType="end"/>
      </w:r>
      <w:r>
        <w:fldChar w:fldCharType="end"/>
      </w:r>
    </w:p>
    <w:p w14:paraId="750A0801">
      <w:pPr>
        <w:pStyle w:val="16"/>
        <w:tabs>
          <w:tab w:val="right" w:leader="dot" w:pos="8306"/>
        </w:tabs>
        <w:ind w:left="560"/>
      </w:pPr>
      <w:r>
        <w:fldChar w:fldCharType="begin"/>
      </w:r>
      <w:r>
        <w:instrText xml:space="preserve"> HYPERLINK \l "_Toc6302" </w:instrText>
      </w:r>
      <w:r>
        <w:fldChar w:fldCharType="separate"/>
      </w:r>
      <w:r>
        <w:t>3.3划定方案及成果</w:t>
      </w:r>
      <w:r>
        <w:tab/>
      </w:r>
      <w:r>
        <w:fldChar w:fldCharType="begin"/>
      </w:r>
      <w:r>
        <w:instrText xml:space="preserve"> PAGEREF _Toc6302 \h </w:instrText>
      </w:r>
      <w:r>
        <w:fldChar w:fldCharType="separate"/>
      </w:r>
      <w:r>
        <w:t>13</w:t>
      </w:r>
      <w:r>
        <w:fldChar w:fldCharType="end"/>
      </w:r>
      <w:r>
        <w:fldChar w:fldCharType="end"/>
      </w:r>
    </w:p>
    <w:p w14:paraId="680AE3F5">
      <w:pPr>
        <w:pStyle w:val="11"/>
        <w:tabs>
          <w:tab w:val="right" w:leader="dot" w:pos="8306"/>
        </w:tabs>
        <w:ind w:left="1120"/>
      </w:pPr>
      <w:r>
        <w:fldChar w:fldCharType="begin"/>
      </w:r>
      <w:r>
        <w:instrText xml:space="preserve"> HYPERLINK \l "_Toc3739" </w:instrText>
      </w:r>
      <w:r>
        <w:fldChar w:fldCharType="separate"/>
      </w:r>
      <w:r>
        <w:t>3.3.1要素选取</w:t>
      </w:r>
      <w:r>
        <w:tab/>
      </w:r>
      <w:r>
        <w:fldChar w:fldCharType="begin"/>
      </w:r>
      <w:r>
        <w:instrText xml:space="preserve"> PAGEREF _Toc3739 \h </w:instrText>
      </w:r>
      <w:r>
        <w:fldChar w:fldCharType="separate"/>
      </w:r>
      <w:r>
        <w:t>13</w:t>
      </w:r>
      <w:r>
        <w:fldChar w:fldCharType="end"/>
      </w:r>
      <w:r>
        <w:fldChar w:fldCharType="end"/>
      </w:r>
    </w:p>
    <w:p w14:paraId="0F7311B6">
      <w:pPr>
        <w:pStyle w:val="11"/>
        <w:tabs>
          <w:tab w:val="right" w:leader="dot" w:pos="8306"/>
        </w:tabs>
        <w:ind w:left="1120"/>
      </w:pPr>
      <w:r>
        <w:fldChar w:fldCharType="begin"/>
      </w:r>
      <w:r>
        <w:instrText xml:space="preserve"> HYPERLINK \l "_Toc28089" </w:instrText>
      </w:r>
      <w:r>
        <w:fldChar w:fldCharType="separate"/>
      </w:r>
      <w:r>
        <w:rPr>
          <w:rFonts w:hint="eastAsia" w:ascii="宋体" w:hAnsi="宋体" w:eastAsia="宋体" w:cs="宋体"/>
          <w:szCs w:val="28"/>
        </w:rPr>
        <w:t>3.3.2 划定过程</w:t>
      </w:r>
      <w:r>
        <w:tab/>
      </w:r>
      <w:r>
        <w:fldChar w:fldCharType="begin"/>
      </w:r>
      <w:r>
        <w:instrText xml:space="preserve"> PAGEREF _Toc28089 \h </w:instrText>
      </w:r>
      <w:r>
        <w:fldChar w:fldCharType="separate"/>
      </w:r>
      <w:r>
        <w:t>15</w:t>
      </w:r>
      <w:r>
        <w:fldChar w:fldCharType="end"/>
      </w:r>
      <w:r>
        <w:fldChar w:fldCharType="end"/>
      </w:r>
    </w:p>
    <w:p w14:paraId="03EFC170">
      <w:pPr>
        <w:pStyle w:val="11"/>
        <w:tabs>
          <w:tab w:val="right" w:leader="dot" w:pos="8306"/>
        </w:tabs>
        <w:ind w:left="1120"/>
      </w:pPr>
      <w:r>
        <w:fldChar w:fldCharType="begin"/>
      </w:r>
      <w:r>
        <w:instrText xml:space="preserve"> HYPERLINK \l "_Toc26570" </w:instrText>
      </w:r>
      <w:r>
        <w:fldChar w:fldCharType="separate"/>
      </w:r>
      <w:r>
        <w:t>3.3.3定界技术说明</w:t>
      </w:r>
      <w:r>
        <w:tab/>
      </w:r>
      <w:r>
        <w:fldChar w:fldCharType="begin"/>
      </w:r>
      <w:r>
        <w:instrText xml:space="preserve"> PAGEREF _Toc26570 \h </w:instrText>
      </w:r>
      <w:r>
        <w:fldChar w:fldCharType="separate"/>
      </w:r>
      <w:r>
        <w:t>16</w:t>
      </w:r>
      <w:r>
        <w:fldChar w:fldCharType="end"/>
      </w:r>
      <w:r>
        <w:fldChar w:fldCharType="end"/>
      </w:r>
    </w:p>
    <w:p w14:paraId="157A1333">
      <w:pPr>
        <w:pStyle w:val="11"/>
        <w:tabs>
          <w:tab w:val="right" w:leader="dot" w:pos="8306"/>
        </w:tabs>
        <w:ind w:left="1120"/>
      </w:pPr>
      <w:r>
        <w:fldChar w:fldCharType="begin"/>
      </w:r>
      <w:r>
        <w:instrText xml:space="preserve"> HYPERLINK \l "_Toc25413" </w:instrText>
      </w:r>
      <w:r>
        <w:fldChar w:fldCharType="separate"/>
      </w:r>
      <w:r>
        <w:t>3.3.4具体方案及</w:t>
      </w:r>
      <w:r>
        <w:rPr>
          <w:rFonts w:hint="eastAsia"/>
        </w:rPr>
        <w:t>成</w:t>
      </w:r>
      <w:r>
        <w:t>果</w:t>
      </w:r>
      <w:r>
        <w:tab/>
      </w:r>
      <w:r>
        <w:fldChar w:fldCharType="begin"/>
      </w:r>
      <w:r>
        <w:instrText xml:space="preserve"> PAGEREF _Toc25413 \h </w:instrText>
      </w:r>
      <w:r>
        <w:fldChar w:fldCharType="separate"/>
      </w:r>
      <w:r>
        <w:t>18</w:t>
      </w:r>
      <w:r>
        <w:fldChar w:fldCharType="end"/>
      </w:r>
      <w:r>
        <w:fldChar w:fldCharType="end"/>
      </w:r>
    </w:p>
    <w:p w14:paraId="686F00F7">
      <w:pPr>
        <w:pStyle w:val="16"/>
        <w:tabs>
          <w:tab w:val="right" w:leader="dot" w:pos="8306"/>
        </w:tabs>
        <w:ind w:left="560"/>
      </w:pPr>
      <w:r>
        <w:fldChar w:fldCharType="begin"/>
      </w:r>
      <w:r>
        <w:instrText xml:space="preserve"> HYPERLINK \l "_Toc25594" </w:instrText>
      </w:r>
      <w:r>
        <w:fldChar w:fldCharType="separate"/>
      </w:r>
      <w:r>
        <w:t>3.4 成果核定及</w:t>
      </w:r>
      <w:r>
        <w:rPr>
          <w:rFonts w:hint="eastAsia"/>
        </w:rPr>
        <w:t>目</w:t>
      </w:r>
      <w:r>
        <w:t>标分析</w:t>
      </w:r>
      <w:r>
        <w:tab/>
      </w:r>
      <w:r>
        <w:fldChar w:fldCharType="begin"/>
      </w:r>
      <w:r>
        <w:instrText xml:space="preserve"> PAGEREF _Toc25594 \h </w:instrText>
      </w:r>
      <w:r>
        <w:fldChar w:fldCharType="separate"/>
      </w:r>
      <w:r>
        <w:t>18</w:t>
      </w:r>
      <w:r>
        <w:fldChar w:fldCharType="end"/>
      </w:r>
      <w:r>
        <w:fldChar w:fldCharType="end"/>
      </w:r>
    </w:p>
    <w:p w14:paraId="5F6B486E">
      <w:pPr>
        <w:pStyle w:val="11"/>
        <w:tabs>
          <w:tab w:val="right" w:leader="dot" w:pos="8306"/>
        </w:tabs>
        <w:ind w:left="1120"/>
      </w:pPr>
      <w:r>
        <w:fldChar w:fldCharType="begin"/>
      </w:r>
      <w:r>
        <w:instrText xml:space="preserve"> HYPERLINK \l "_Toc14301" </w:instrText>
      </w:r>
      <w:r>
        <w:fldChar w:fldCharType="separate"/>
      </w:r>
      <w:r>
        <w:t>3.4</w:t>
      </w:r>
      <w:r>
        <w:rPr>
          <w:rFonts w:hint="eastAsia"/>
        </w:rPr>
        <w:t>.</w:t>
      </w:r>
      <w:r>
        <w:t>1禁烧区基础信息</w:t>
      </w:r>
      <w:r>
        <w:tab/>
      </w:r>
      <w:r>
        <w:fldChar w:fldCharType="begin"/>
      </w:r>
      <w:r>
        <w:instrText xml:space="preserve"> PAGEREF _Toc14301 \h </w:instrText>
      </w:r>
      <w:r>
        <w:fldChar w:fldCharType="separate"/>
      </w:r>
      <w:r>
        <w:t>18</w:t>
      </w:r>
      <w:r>
        <w:fldChar w:fldCharType="end"/>
      </w:r>
      <w:r>
        <w:fldChar w:fldCharType="end"/>
      </w:r>
    </w:p>
    <w:p w14:paraId="36E15803">
      <w:pPr>
        <w:pStyle w:val="11"/>
        <w:tabs>
          <w:tab w:val="right" w:leader="dot" w:pos="8306"/>
        </w:tabs>
        <w:ind w:left="1120"/>
      </w:pPr>
      <w:r>
        <w:fldChar w:fldCharType="begin"/>
      </w:r>
      <w:r>
        <w:instrText xml:space="preserve"> HYPERLINK \l "_Toc27616" </w:instrText>
      </w:r>
      <w:r>
        <w:fldChar w:fldCharType="separate"/>
      </w:r>
      <w:r>
        <w:t>3.1.2限烧区基础信息</w:t>
      </w:r>
      <w:r>
        <w:tab/>
      </w:r>
      <w:r>
        <w:fldChar w:fldCharType="begin"/>
      </w:r>
      <w:r>
        <w:instrText xml:space="preserve"> PAGEREF _Toc27616 \h </w:instrText>
      </w:r>
      <w:r>
        <w:fldChar w:fldCharType="separate"/>
      </w:r>
      <w:r>
        <w:t>19</w:t>
      </w:r>
      <w:r>
        <w:fldChar w:fldCharType="end"/>
      </w:r>
      <w:r>
        <w:fldChar w:fldCharType="end"/>
      </w:r>
    </w:p>
    <w:p w14:paraId="471F8E94">
      <w:pPr>
        <w:pStyle w:val="11"/>
        <w:tabs>
          <w:tab w:val="right" w:leader="dot" w:pos="8306"/>
        </w:tabs>
        <w:ind w:left="1120"/>
      </w:pPr>
      <w:r>
        <w:fldChar w:fldCharType="begin"/>
      </w:r>
      <w:r>
        <w:instrText xml:space="preserve"> HYPERLINK \l "_Toc27582" </w:instrText>
      </w:r>
      <w:r>
        <w:fldChar w:fldCharType="separate"/>
      </w:r>
      <w:r>
        <w:t>3.4.2禁、限烧耕地情况</w:t>
      </w:r>
      <w:r>
        <w:tab/>
      </w:r>
      <w:r>
        <w:fldChar w:fldCharType="begin"/>
      </w:r>
      <w:r>
        <w:instrText xml:space="preserve"> PAGEREF _Toc27582 \h </w:instrText>
      </w:r>
      <w:r>
        <w:fldChar w:fldCharType="separate"/>
      </w:r>
      <w:r>
        <w:t>21</w:t>
      </w:r>
      <w:r>
        <w:fldChar w:fldCharType="end"/>
      </w:r>
      <w:r>
        <w:fldChar w:fldCharType="end"/>
      </w:r>
    </w:p>
    <w:p w14:paraId="7033FB39">
      <w:pPr>
        <w:pStyle w:val="15"/>
        <w:tabs>
          <w:tab w:val="right" w:leader="dot" w:pos="8306"/>
        </w:tabs>
      </w:pPr>
      <w:r>
        <w:fldChar w:fldCharType="begin"/>
      </w:r>
      <w:r>
        <w:instrText xml:space="preserve"> HYPERLINK \l "_Toc22435" </w:instrText>
      </w:r>
      <w:r>
        <w:fldChar w:fldCharType="separate"/>
      </w:r>
      <w:r>
        <w:rPr>
          <w:rFonts w:hint="eastAsia"/>
        </w:rPr>
        <w:t xml:space="preserve">第四章 </w:t>
      </w:r>
      <w:r>
        <w:t>禁烧、限烧管控要求及情况</w:t>
      </w:r>
      <w:r>
        <w:tab/>
      </w:r>
      <w:r>
        <w:fldChar w:fldCharType="begin"/>
      </w:r>
      <w:r>
        <w:instrText xml:space="preserve"> PAGEREF _Toc22435 \h </w:instrText>
      </w:r>
      <w:r>
        <w:fldChar w:fldCharType="separate"/>
      </w:r>
      <w:r>
        <w:t>24</w:t>
      </w:r>
      <w:r>
        <w:fldChar w:fldCharType="end"/>
      </w:r>
      <w:r>
        <w:fldChar w:fldCharType="end"/>
      </w:r>
    </w:p>
    <w:p w14:paraId="0C0E4DE0">
      <w:pPr>
        <w:pStyle w:val="16"/>
        <w:tabs>
          <w:tab w:val="right" w:leader="dot" w:pos="8306"/>
        </w:tabs>
        <w:ind w:left="560"/>
      </w:pPr>
      <w:r>
        <w:fldChar w:fldCharType="begin"/>
      </w:r>
      <w:r>
        <w:instrText xml:space="preserve"> HYPERLINK \l "_Toc21483" </w:instrText>
      </w:r>
      <w:r>
        <w:fldChar w:fldCharType="separate"/>
      </w:r>
      <w:r>
        <w:rPr>
          <w:rFonts w:hint="eastAsia"/>
        </w:rPr>
        <w:t>4</w:t>
      </w:r>
      <w:r>
        <w:t>.1管控要求</w:t>
      </w:r>
      <w:r>
        <w:tab/>
      </w:r>
      <w:r>
        <w:fldChar w:fldCharType="begin"/>
      </w:r>
      <w:r>
        <w:instrText xml:space="preserve"> PAGEREF _Toc21483 \h </w:instrText>
      </w:r>
      <w:r>
        <w:fldChar w:fldCharType="separate"/>
      </w:r>
      <w:r>
        <w:t>24</w:t>
      </w:r>
      <w:r>
        <w:fldChar w:fldCharType="end"/>
      </w:r>
      <w:r>
        <w:fldChar w:fldCharType="end"/>
      </w:r>
    </w:p>
    <w:p w14:paraId="082608CD">
      <w:pPr>
        <w:pStyle w:val="11"/>
        <w:tabs>
          <w:tab w:val="right" w:leader="dot" w:pos="8306"/>
        </w:tabs>
        <w:ind w:left="1120"/>
      </w:pPr>
      <w:r>
        <w:fldChar w:fldCharType="begin"/>
      </w:r>
      <w:r>
        <w:instrText xml:space="preserve"> HYPERLINK \l "_Toc22495" </w:instrText>
      </w:r>
      <w:r>
        <w:fldChar w:fldCharType="separate"/>
      </w:r>
      <w:r>
        <w:rPr>
          <w:rFonts w:hint="eastAsia"/>
        </w:rPr>
        <w:t>4.1.1 禁烧区管控要求</w:t>
      </w:r>
      <w:r>
        <w:tab/>
      </w:r>
      <w:r>
        <w:fldChar w:fldCharType="begin"/>
      </w:r>
      <w:r>
        <w:instrText xml:space="preserve"> PAGEREF _Toc22495 \h </w:instrText>
      </w:r>
      <w:r>
        <w:fldChar w:fldCharType="separate"/>
      </w:r>
      <w:r>
        <w:t>24</w:t>
      </w:r>
      <w:r>
        <w:fldChar w:fldCharType="end"/>
      </w:r>
      <w:r>
        <w:fldChar w:fldCharType="end"/>
      </w:r>
    </w:p>
    <w:p w14:paraId="7AD734E1">
      <w:pPr>
        <w:pStyle w:val="11"/>
        <w:tabs>
          <w:tab w:val="right" w:leader="dot" w:pos="8306"/>
        </w:tabs>
        <w:ind w:left="1120"/>
      </w:pPr>
      <w:r>
        <w:fldChar w:fldCharType="begin"/>
      </w:r>
      <w:r>
        <w:instrText xml:space="preserve"> HYPERLINK \l "_Toc30603" </w:instrText>
      </w:r>
      <w:r>
        <w:fldChar w:fldCharType="separate"/>
      </w:r>
      <w:r>
        <w:rPr>
          <w:rFonts w:hint="eastAsia"/>
        </w:rPr>
        <w:t>4.1.2限烧区管控要求</w:t>
      </w:r>
      <w:r>
        <w:tab/>
      </w:r>
      <w:r>
        <w:fldChar w:fldCharType="begin"/>
      </w:r>
      <w:r>
        <w:instrText xml:space="preserve"> PAGEREF _Toc30603 \h </w:instrText>
      </w:r>
      <w:r>
        <w:fldChar w:fldCharType="separate"/>
      </w:r>
      <w:r>
        <w:t>24</w:t>
      </w:r>
      <w:r>
        <w:fldChar w:fldCharType="end"/>
      </w:r>
      <w:r>
        <w:fldChar w:fldCharType="end"/>
      </w:r>
    </w:p>
    <w:p w14:paraId="52907C5B">
      <w:pPr>
        <w:pStyle w:val="16"/>
        <w:tabs>
          <w:tab w:val="right" w:leader="dot" w:pos="8306"/>
        </w:tabs>
        <w:ind w:left="560"/>
      </w:pPr>
      <w:r>
        <w:fldChar w:fldCharType="begin"/>
      </w:r>
      <w:r>
        <w:instrText xml:space="preserve"> HYPERLINK \l "_Toc5148" </w:instrText>
      </w:r>
      <w:r>
        <w:fldChar w:fldCharType="separate"/>
      </w:r>
      <w:r>
        <w:rPr>
          <w:rFonts w:hint="eastAsia"/>
        </w:rPr>
        <w:t>4.2管理办法</w:t>
      </w:r>
      <w:r>
        <w:tab/>
      </w:r>
      <w:r>
        <w:fldChar w:fldCharType="begin"/>
      </w:r>
      <w:r>
        <w:instrText xml:space="preserve"> PAGEREF _Toc5148 \h </w:instrText>
      </w:r>
      <w:r>
        <w:fldChar w:fldCharType="separate"/>
      </w:r>
      <w:r>
        <w:t>25</w:t>
      </w:r>
      <w:r>
        <w:fldChar w:fldCharType="end"/>
      </w:r>
      <w:r>
        <w:fldChar w:fldCharType="end"/>
      </w:r>
    </w:p>
    <w:p w14:paraId="53ADF54B">
      <w:pPr>
        <w:pStyle w:val="11"/>
        <w:tabs>
          <w:tab w:val="right" w:leader="dot" w:pos="8306"/>
        </w:tabs>
        <w:ind w:left="1120"/>
      </w:pPr>
      <w:r>
        <w:fldChar w:fldCharType="begin"/>
      </w:r>
      <w:r>
        <w:instrText xml:space="preserve"> HYPERLINK \l "_Toc4385" </w:instrText>
      </w:r>
      <w:r>
        <w:fldChar w:fldCharType="separate"/>
      </w:r>
      <w:r>
        <w:rPr>
          <w:rFonts w:hint="eastAsia"/>
        </w:rPr>
        <w:t>4.2.1重点管控区域</w:t>
      </w:r>
      <w:r>
        <w:tab/>
      </w:r>
      <w:r>
        <w:fldChar w:fldCharType="begin"/>
      </w:r>
      <w:r>
        <w:instrText xml:space="preserve"> PAGEREF _Toc4385 \h </w:instrText>
      </w:r>
      <w:r>
        <w:fldChar w:fldCharType="separate"/>
      </w:r>
      <w:r>
        <w:t>25</w:t>
      </w:r>
      <w:r>
        <w:fldChar w:fldCharType="end"/>
      </w:r>
      <w:r>
        <w:fldChar w:fldCharType="end"/>
      </w:r>
    </w:p>
    <w:p w14:paraId="6808CDA3">
      <w:pPr>
        <w:pStyle w:val="11"/>
        <w:tabs>
          <w:tab w:val="right" w:leader="dot" w:pos="8306"/>
        </w:tabs>
        <w:ind w:left="1120"/>
      </w:pPr>
      <w:r>
        <w:fldChar w:fldCharType="begin"/>
      </w:r>
      <w:r>
        <w:instrText xml:space="preserve"> HYPERLINK \l "_Toc4505" </w:instrText>
      </w:r>
      <w:r>
        <w:fldChar w:fldCharType="separate"/>
      </w:r>
      <w:r>
        <w:rPr>
          <w:rFonts w:hint="eastAsia"/>
        </w:rPr>
        <w:t>4.2.2重点管控时段</w:t>
      </w:r>
      <w:r>
        <w:tab/>
      </w:r>
      <w:r>
        <w:fldChar w:fldCharType="begin"/>
      </w:r>
      <w:r>
        <w:instrText xml:space="preserve"> PAGEREF _Toc4505 \h </w:instrText>
      </w:r>
      <w:r>
        <w:fldChar w:fldCharType="separate"/>
      </w:r>
      <w:r>
        <w:t>25</w:t>
      </w:r>
      <w:r>
        <w:fldChar w:fldCharType="end"/>
      </w:r>
      <w:r>
        <w:fldChar w:fldCharType="end"/>
      </w:r>
    </w:p>
    <w:p w14:paraId="66A89EC0">
      <w:pPr>
        <w:pStyle w:val="11"/>
        <w:tabs>
          <w:tab w:val="right" w:leader="dot" w:pos="8306"/>
        </w:tabs>
        <w:ind w:left="1120"/>
      </w:pPr>
      <w:r>
        <w:fldChar w:fldCharType="begin"/>
      </w:r>
      <w:r>
        <w:instrText xml:space="preserve"> HYPERLINK \l "_Toc6793" </w:instrText>
      </w:r>
      <w:r>
        <w:fldChar w:fldCharType="separate"/>
      </w:r>
      <w:r>
        <w:t>4.2.3</w:t>
      </w:r>
      <w:r>
        <w:rPr>
          <w:rFonts w:hint="eastAsia"/>
        </w:rPr>
        <w:t>管控手段</w:t>
      </w:r>
      <w:r>
        <w:tab/>
      </w:r>
      <w:r>
        <w:fldChar w:fldCharType="begin"/>
      </w:r>
      <w:r>
        <w:instrText xml:space="preserve"> PAGEREF _Toc6793 \h </w:instrText>
      </w:r>
      <w:r>
        <w:fldChar w:fldCharType="separate"/>
      </w:r>
      <w:r>
        <w:t>25</w:t>
      </w:r>
      <w:r>
        <w:fldChar w:fldCharType="end"/>
      </w:r>
      <w:r>
        <w:fldChar w:fldCharType="end"/>
      </w:r>
    </w:p>
    <w:p w14:paraId="6E1A3FE6">
      <w:pPr>
        <w:pStyle w:val="11"/>
        <w:tabs>
          <w:tab w:val="right" w:leader="dot" w:pos="8306"/>
        </w:tabs>
        <w:ind w:left="1120"/>
      </w:pPr>
      <w:r>
        <w:fldChar w:fldCharType="begin"/>
      </w:r>
      <w:r>
        <w:instrText xml:space="preserve"> HYPERLINK \l "_Toc19935" </w:instrText>
      </w:r>
      <w:r>
        <w:fldChar w:fldCharType="separate"/>
      </w:r>
      <w:r>
        <w:t>4</w:t>
      </w:r>
      <w:r>
        <w:rPr>
          <w:rFonts w:hint="eastAsia"/>
        </w:rPr>
        <w:t>.3管控保障措施 </w:t>
      </w:r>
      <w:r>
        <w:tab/>
      </w:r>
      <w:r>
        <w:fldChar w:fldCharType="begin"/>
      </w:r>
      <w:r>
        <w:instrText xml:space="preserve"> PAGEREF _Toc19935 \h </w:instrText>
      </w:r>
      <w:r>
        <w:fldChar w:fldCharType="separate"/>
      </w:r>
      <w:r>
        <w:t>26</w:t>
      </w:r>
      <w:r>
        <w:fldChar w:fldCharType="end"/>
      </w:r>
      <w:r>
        <w:fldChar w:fldCharType="end"/>
      </w:r>
    </w:p>
    <w:p w14:paraId="15F54B91">
      <w:pPr>
        <w:pStyle w:val="16"/>
        <w:tabs>
          <w:tab w:val="right" w:leader="dot" w:pos="8306"/>
        </w:tabs>
        <w:ind w:left="560"/>
      </w:pPr>
      <w:r>
        <w:fldChar w:fldCharType="begin"/>
      </w:r>
      <w:r>
        <w:instrText xml:space="preserve"> HYPERLINK \l "_Toc16866" </w:instrText>
      </w:r>
      <w:r>
        <w:fldChar w:fldCharType="separate"/>
      </w:r>
      <w:r>
        <w:t>4</w:t>
      </w:r>
      <w:r>
        <w:rPr>
          <w:rFonts w:hint="eastAsia"/>
        </w:rPr>
        <w:t>.4 秸秆离田管理措施</w:t>
      </w:r>
      <w:r>
        <w:tab/>
      </w:r>
      <w:r>
        <w:fldChar w:fldCharType="begin"/>
      </w:r>
      <w:r>
        <w:instrText xml:space="preserve"> PAGEREF _Toc16866 \h </w:instrText>
      </w:r>
      <w:r>
        <w:fldChar w:fldCharType="separate"/>
      </w:r>
      <w:r>
        <w:t>26</w:t>
      </w:r>
      <w:r>
        <w:fldChar w:fldCharType="end"/>
      </w:r>
      <w:r>
        <w:fldChar w:fldCharType="end"/>
      </w:r>
    </w:p>
    <w:p w14:paraId="5B78EE37">
      <w:pPr>
        <w:pStyle w:val="16"/>
        <w:tabs>
          <w:tab w:val="right" w:leader="dot" w:pos="8306"/>
        </w:tabs>
        <w:ind w:left="560"/>
      </w:pPr>
      <w:r>
        <w:fldChar w:fldCharType="begin"/>
      </w:r>
      <w:r>
        <w:instrText xml:space="preserve"> HYPERLINK \l "_Toc4725" </w:instrText>
      </w:r>
      <w:r>
        <w:fldChar w:fldCharType="separate"/>
      </w:r>
      <w:r>
        <w:t>4</w:t>
      </w:r>
      <w:r>
        <w:rPr>
          <w:rFonts w:hint="eastAsia"/>
        </w:rPr>
        <w:t>.5 禁烧区管理规定</w:t>
      </w:r>
      <w:r>
        <w:tab/>
      </w:r>
      <w:r>
        <w:fldChar w:fldCharType="begin"/>
      </w:r>
      <w:r>
        <w:instrText xml:space="preserve"> PAGEREF _Toc4725 \h </w:instrText>
      </w:r>
      <w:r>
        <w:fldChar w:fldCharType="separate"/>
      </w:r>
      <w:r>
        <w:t>27</w:t>
      </w:r>
      <w:r>
        <w:fldChar w:fldCharType="end"/>
      </w:r>
      <w:r>
        <w:fldChar w:fldCharType="end"/>
      </w:r>
    </w:p>
    <w:p w14:paraId="22681A78">
      <w:r>
        <w:rPr>
          <w:rFonts w:hint="eastAsia"/>
        </w:rPr>
        <w:fldChar w:fldCharType="end"/>
      </w:r>
    </w:p>
    <w:p w14:paraId="38249DCE"/>
    <w:p w14:paraId="077326FA">
      <w:pPr>
        <w:rPr>
          <w:rFonts w:hint="eastAsia"/>
        </w:rPr>
      </w:pPr>
      <w:r>
        <w:rPr>
          <w:rFonts w:hint="eastAsia"/>
        </w:rPr>
        <w:t>附件：邵阳县秸秆禁烧区、限烧区耕地分布图</w:t>
      </w:r>
    </w:p>
    <w:p w14:paraId="15E0929B">
      <w:pPr>
        <w:pStyle w:val="2"/>
      </w:pPr>
      <w:bookmarkStart w:id="19" w:name="_Toc2086"/>
      <w:r>
        <w:rPr>
          <w:rFonts w:hint="eastAsia"/>
        </w:rPr>
        <w:t>第一章 总论</w:t>
      </w:r>
      <w:bookmarkEnd w:id="19"/>
    </w:p>
    <w:p w14:paraId="37CBD7D5">
      <w:pPr>
        <w:pStyle w:val="3"/>
      </w:pPr>
      <w:bookmarkStart w:id="20" w:name="_Toc18933"/>
      <w:r>
        <w:rPr>
          <w:rFonts w:hint="eastAsia"/>
        </w:rPr>
        <w:t>1.1划定目的</w:t>
      </w:r>
      <w:bookmarkEnd w:id="20"/>
    </w:p>
    <w:p w14:paraId="3CBDE1DD">
      <w:pPr>
        <w:ind w:firstLine="560" w:firstLineChars="200"/>
      </w:pPr>
      <w:r>
        <w:rPr>
          <w:rFonts w:hint="eastAsia"/>
        </w:rPr>
        <w:t>综合考虑地形地貌和大气污染传输扩散特征，兼顾农业生产和秸秆综合利用条件，建立全局的分区域、分类型、分级别、分时段秸秆禁烧区划定及禁烧管控体系，明确不同的划定目标要求，有效降低污染风险。禁烧区划定以耕地为目标对象，将耕地集中连片、露天焚烧多发频发、环境影响大等重点区域划入禁烧区，防止简单“一刀切”。秸秆禁烧区应与土地利用类型相协调，以耕地为目标对象，统筹考虑自然地理边界和行政边界，尽可能连续成片、避免破碎化，便于实际管理。</w:t>
      </w:r>
    </w:p>
    <w:p w14:paraId="560C51F0">
      <w:pPr>
        <w:pStyle w:val="3"/>
      </w:pPr>
      <w:bookmarkStart w:id="21" w:name="_Toc10036"/>
      <w:r>
        <w:rPr>
          <w:rFonts w:hint="eastAsia"/>
        </w:rPr>
        <w:t>1.2划定依据</w:t>
      </w:r>
      <w:bookmarkEnd w:id="21"/>
    </w:p>
    <w:p w14:paraId="7E2ADC36">
      <w:pPr>
        <w:ind w:firstLine="560" w:firstLineChars="200"/>
      </w:pPr>
      <w:r>
        <w:rPr>
          <w:rFonts w:hint="eastAsia"/>
        </w:rPr>
        <w:t xml:space="preserve">（1）《中华人民共和国大气污染防治法》 </w:t>
      </w:r>
    </w:p>
    <w:p w14:paraId="36288008">
      <w:pPr>
        <w:ind w:left="560" w:leftChars="200"/>
      </w:pPr>
      <w:r>
        <w:rPr>
          <w:rFonts w:hint="eastAsia"/>
        </w:rPr>
        <w:t>（2）《环境空气质量改善行动计划》</w:t>
      </w:r>
      <w:r>
        <w:rPr>
          <w:rFonts w:hint="eastAsia"/>
        </w:rPr>
        <w:cr/>
      </w:r>
      <w:r>
        <w:rPr>
          <w:rFonts w:hint="eastAsia"/>
        </w:rPr>
        <w:t xml:space="preserve">（3）《关于进一步深化农村改革扎实推进乡村全面振兴的意见》  </w:t>
      </w:r>
      <w:r>
        <w:rPr>
          <w:rFonts w:hint="eastAsia"/>
        </w:rPr>
        <w:cr/>
      </w:r>
      <w:r>
        <w:rPr>
          <w:rFonts w:hint="eastAsia"/>
        </w:rPr>
        <w:t xml:space="preserve">（4）《湖南大气污染防治条例》                </w:t>
      </w:r>
    </w:p>
    <w:p w14:paraId="7B0A346C">
      <w:pPr>
        <w:ind w:firstLine="560" w:firstLineChars="200"/>
      </w:pPr>
      <w:r>
        <w:rPr>
          <w:rFonts w:hint="eastAsia"/>
        </w:rPr>
        <w:t xml:space="preserve">（5）《湖南省重污染天气防治若干规定》                                       </w:t>
      </w:r>
    </w:p>
    <w:p w14:paraId="38181C83">
      <w:pPr>
        <w:ind w:left="560" w:leftChars="200"/>
      </w:pPr>
      <w:r>
        <w:rPr>
          <w:rFonts w:hint="eastAsia"/>
        </w:rPr>
        <w:t xml:space="preserve">（6）《湖南省秸秆综合利用若干规定》 </w:t>
      </w:r>
      <w:r>
        <w:rPr>
          <w:rFonts w:hint="eastAsia"/>
        </w:rPr>
        <w:cr/>
      </w:r>
      <w:r>
        <w:rPr>
          <w:rFonts w:hint="eastAsia"/>
        </w:rPr>
        <w:t>（7）《湖南省大气污染防治“守护蓝天”攻坚行动计划（2023—2025年）》</w:t>
      </w:r>
      <w:r>
        <w:rPr>
          <w:rFonts w:hint="eastAsia"/>
        </w:rPr>
        <w:cr/>
      </w:r>
      <w:r>
        <w:rPr>
          <w:rFonts w:hint="eastAsia"/>
        </w:rPr>
        <w:t xml:space="preserve">（8）《湖南省环境空气质量改善行动计划》 </w:t>
      </w:r>
    </w:p>
    <w:p w14:paraId="5D2F021A">
      <w:pPr>
        <w:pStyle w:val="3"/>
      </w:pPr>
      <w:bookmarkStart w:id="22" w:name="_Toc23715"/>
      <w:r>
        <w:rPr>
          <w:rFonts w:hint="eastAsia"/>
        </w:rPr>
        <w:t>1.3划定总体工作情况</w:t>
      </w:r>
      <w:bookmarkEnd w:id="22"/>
    </w:p>
    <w:p w14:paraId="42E5CC6A">
      <w:pPr>
        <w:ind w:firstLine="560" w:firstLineChars="200"/>
      </w:pPr>
      <w:r>
        <w:rPr>
          <w:rFonts w:hint="eastAsia"/>
        </w:rPr>
        <w:t>（1）制订工作方案。</w:t>
      </w:r>
    </w:p>
    <w:p w14:paraId="6E31D186">
      <w:pPr>
        <w:ind w:firstLine="560" w:firstLineChars="200"/>
      </w:pPr>
      <w:r>
        <w:rPr>
          <w:rFonts w:hint="eastAsia"/>
        </w:rPr>
        <w:t>（2）全面收集整理矢量数据资料，制作禁、限烧区划定工作底图。</w:t>
      </w:r>
    </w:p>
    <w:p w14:paraId="0E564DA0">
      <w:pPr>
        <w:ind w:firstLine="560" w:firstLineChars="200"/>
      </w:pPr>
      <w:r>
        <w:rPr>
          <w:rFonts w:hint="eastAsia"/>
        </w:rPr>
        <w:t>① 湖南省秸秆禁烧区和限烧区划定的指导意见和《湖南省生态环境厅〈关于加快推进秸轩禁烧区划定工作的通知〉》和《邵阳市生态环境局〈关于明确全市秸轩禁烧区划定工作有关事项的提示函〉》。</w:t>
      </w:r>
    </w:p>
    <w:p w14:paraId="4B29DC03">
      <w:pPr>
        <w:ind w:firstLine="560" w:firstLineChars="200"/>
      </w:pPr>
      <w:r>
        <w:rPr>
          <w:rFonts w:hint="eastAsia"/>
        </w:rPr>
        <w:t>② 熟悉区域总体规划、乡镇总体规划和土地利用总体规划。从城乡规划、土地利用规划、国土空间规划、国土三调耕地数据或卫星地图中划分出已建成区的区域。</w:t>
      </w:r>
    </w:p>
    <w:p w14:paraId="6947E5A3">
      <w:pPr>
        <w:ind w:firstLine="560" w:firstLineChars="200"/>
      </w:pPr>
      <w:r>
        <w:rPr>
          <w:rFonts w:hint="eastAsia"/>
        </w:rPr>
        <w:t>（3）明确辖区大气污染扩散规律，识别影响的重点空间范围。深入开展辖区耕地调研排查，确定需要禁烧的重点耕地范围。</w:t>
      </w:r>
    </w:p>
    <w:p w14:paraId="5744740B">
      <w:pPr>
        <w:ind w:firstLine="560" w:firstLineChars="200"/>
      </w:pPr>
      <w:r>
        <w:rPr>
          <w:rFonts w:hint="eastAsia"/>
        </w:rPr>
        <w:t>①市州所在城市城区实体地域及外围不低于10公里范围内、县（市、区）所在城市城区实体地域及外围不低于5公里范围内的耕地。</w:t>
      </w:r>
    </w:p>
    <w:p w14:paraId="67FC6771">
      <w:pPr>
        <w:ind w:firstLine="560" w:firstLineChars="200"/>
      </w:pPr>
      <w:r>
        <w:rPr>
          <w:rFonts w:hint="eastAsia"/>
        </w:rPr>
        <w:t>② 交通干线附近。高速公路、铁路（高铁）沿线两侧不低于2公里范围内的耕地；国道、省道公路干线沿线两侧不低于1公里范围内的耕地。</w:t>
      </w:r>
    </w:p>
    <w:p w14:paraId="50B60A44">
      <w:pPr>
        <w:ind w:firstLine="560" w:firstLineChars="200"/>
      </w:pPr>
      <w:r>
        <w:rPr>
          <w:rFonts w:hint="eastAsia"/>
        </w:rPr>
        <w:t>③ 机场跑道中心线两侧各10公里、跑道端外20公里范围内的耕地。</w:t>
      </w:r>
    </w:p>
    <w:p w14:paraId="6A606A46">
      <w:pPr>
        <w:ind w:firstLine="560" w:firstLineChars="200"/>
      </w:pPr>
      <w:r>
        <w:fldChar w:fldCharType="begin"/>
      </w:r>
      <w:r>
        <w:rPr>
          <w:rFonts w:hint="eastAsia"/>
        </w:rPr>
        <w:instrText xml:space="preserve">= 4 \* GB3</w:instrText>
      </w:r>
      <w:r>
        <w:fldChar w:fldCharType="separate"/>
      </w:r>
      <w:r>
        <w:rPr>
          <w:rFonts w:hint="eastAsia"/>
        </w:rPr>
        <w:t>④</w:t>
      </w:r>
      <w:r>
        <w:fldChar w:fldCharType="end"/>
      </w:r>
      <w:r>
        <w:rPr>
          <w:rFonts w:hint="eastAsia"/>
        </w:rPr>
        <w:t xml:space="preserve"> 自然保护区范围1公里范围内的耕地。</w:t>
      </w:r>
    </w:p>
    <w:p w14:paraId="485ED7DE">
      <w:pPr>
        <w:ind w:firstLine="560" w:firstLineChars="200"/>
      </w:pPr>
      <w:r>
        <w:rPr>
          <w:rFonts w:hint="eastAsia"/>
        </w:rPr>
        <w:t>（4）乡镇（街道）、县（市、区）协调论证，综合考虑重点空间和耕地需求，精准划定禁、限烧区范围。</w:t>
      </w:r>
    </w:p>
    <w:p w14:paraId="002A621D">
      <w:pPr>
        <w:ind w:firstLine="560" w:firstLineChars="200"/>
      </w:pPr>
      <w:r>
        <w:rPr>
          <w:rFonts w:hint="eastAsia"/>
        </w:rPr>
        <w:t>① 在明确秸秆禁烧区划分范围的基础上，充分考虑土地利用总体规划，城乡规划等因素，通过叠加分析和综合制图确定秸秆禁烧区划定方案。</w:t>
      </w:r>
    </w:p>
    <w:p w14:paraId="7DAFEE91">
      <w:pPr>
        <w:ind w:firstLine="560" w:firstLineChars="200"/>
      </w:pPr>
      <w:r>
        <w:rPr>
          <w:rFonts w:hint="eastAsia"/>
        </w:rPr>
        <w:t>② 秸秆禁烧区制图应以国家高精度遥感影像和土地利用耕地数据为底图，结合交通道路图，城乡居民点分布图等，采用地理信息系统软件进行数据叠加、相交等处理，形成边界清晰的秸秆禁烧区分布图矢量数据。</w:t>
      </w:r>
    </w:p>
    <w:p w14:paraId="512B5CB1">
      <w:pPr>
        <w:ind w:firstLine="560" w:firstLineChars="200"/>
      </w:pPr>
      <w:r>
        <w:rPr>
          <w:rFonts w:hint="eastAsia"/>
        </w:rPr>
        <w:t>（5）完成秸秆禁烧区和限烧区划定初稿。</w:t>
      </w:r>
    </w:p>
    <w:p w14:paraId="2EAAAB6A">
      <w:pPr>
        <w:ind w:firstLine="560" w:firstLineChars="200"/>
      </w:pPr>
      <w:r>
        <w:rPr>
          <w:rFonts w:hint="eastAsia"/>
        </w:rPr>
        <w:t>秸秆禁烧区划定包括图件、文本、数据库、统计表等。其中，图件以县（市）区为出图单位；文本主要是以文字报告形式表述秸秆禁烧区划的主要内容；数据是指适用于地理信息系统软件的原始数据（矢量图、属性表等）及输出数据（矢量图、属性表等)；统计表包括行政区划面积、禁烧区面积、限烧区面积、主要农作物种类和种植面积等。图件是文本的配套材料，与文本具有同等效力，并能满足管理需求。</w:t>
      </w:r>
    </w:p>
    <w:p w14:paraId="35B7E79B">
      <w:pPr>
        <w:ind w:firstLine="560" w:firstLineChars="200"/>
      </w:pPr>
      <w:r>
        <w:rPr>
          <w:rFonts w:hint="eastAsia"/>
        </w:rPr>
        <w:t>秸秆禁烧区图件制作在地理信息系统软件下数字化成图，采用地图学规范方法表示，层次清晰，图例、注记齐全，</w:t>
      </w:r>
    </w:p>
    <w:p w14:paraId="580FBD02">
      <w:pPr>
        <w:ind w:firstLine="560" w:firstLineChars="200"/>
      </w:pPr>
      <w:r>
        <w:rPr>
          <w:rFonts w:hint="eastAsia"/>
        </w:rPr>
        <w:t>（6）对初步划定的方案进行适当调整，确定最终秸秆禁烧区和限烧区划定方案。</w:t>
      </w:r>
    </w:p>
    <w:p w14:paraId="5C9BA518">
      <w:pPr>
        <w:ind w:firstLine="560" w:firstLineChars="200"/>
      </w:pPr>
      <w:r>
        <w:rPr>
          <w:rFonts w:hint="eastAsia"/>
        </w:rPr>
        <w:t>（7）绘制邵阳县秸秆禁烧区、限烧区耕地分布图。</w:t>
      </w:r>
    </w:p>
    <w:p w14:paraId="778C219A">
      <w:pPr>
        <w:jc w:val="center"/>
      </w:pPr>
      <w:r>
        <w:drawing>
          <wp:inline distT="0" distB="0" distL="0" distR="0">
            <wp:extent cx="4630420" cy="5890260"/>
            <wp:effectExtent l="0" t="0" r="17780" b="1524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6"/>
                    <a:stretch>
                      <a:fillRect/>
                    </a:stretch>
                  </pic:blipFill>
                  <pic:spPr>
                    <a:xfrm>
                      <a:off x="0" y="0"/>
                      <a:ext cx="4630763" cy="5890468"/>
                    </a:xfrm>
                    <a:prstGeom prst="rect">
                      <a:avLst/>
                    </a:prstGeom>
                  </pic:spPr>
                </pic:pic>
              </a:graphicData>
            </a:graphic>
          </wp:inline>
        </w:drawing>
      </w:r>
    </w:p>
    <w:p w14:paraId="04ECB4E2">
      <w:pPr>
        <w:pStyle w:val="7"/>
        <w:jc w:val="center"/>
        <w:rPr>
          <w:rFonts w:eastAsiaTheme="minorEastAsia"/>
        </w:rPr>
      </w:pPr>
      <w:r>
        <w:t xml:space="preserve">图 </w:t>
      </w:r>
      <w:r>
        <w:fldChar w:fldCharType="begin"/>
      </w:r>
      <w:r>
        <w:instrText xml:space="preserve"> SEQ 图 \* ARABIC </w:instrText>
      </w:r>
      <w:r>
        <w:fldChar w:fldCharType="separate"/>
      </w:r>
      <w:r>
        <w:t>1</w:t>
      </w:r>
      <w:r>
        <w:fldChar w:fldCharType="end"/>
      </w:r>
      <w:r>
        <w:rPr>
          <w:rFonts w:hint="eastAsia"/>
        </w:rPr>
        <w:t xml:space="preserve"> 划定工作技术路线</w:t>
      </w:r>
    </w:p>
    <w:p w14:paraId="0E968827">
      <w:pPr>
        <w:tabs>
          <w:tab w:val="center" w:pos="4213"/>
          <w:tab w:val="right" w:pos="8306"/>
        </w:tabs>
        <w:spacing w:line="240" w:lineRule="atLeast"/>
        <w:ind w:firstLine="640" w:firstLineChars="200"/>
        <w:jc w:val="left"/>
        <w:textAlignment w:val="baseline"/>
        <w:rPr>
          <w:rFonts w:ascii="新宋体" w:hAnsi="新宋体" w:eastAsia="新宋体" w:cs="新宋体"/>
          <w:sz w:val="32"/>
          <w:szCs w:val="32"/>
        </w:rPr>
      </w:pPr>
    </w:p>
    <w:p w14:paraId="29B7D84A"/>
    <w:p w14:paraId="2A5A7676"/>
    <w:p w14:paraId="2E42D000"/>
    <w:p w14:paraId="13E713A2"/>
    <w:p w14:paraId="352B956F">
      <w:pPr>
        <w:pStyle w:val="2"/>
        <w:numPr>
          <w:ilvl w:val="0"/>
          <w:numId w:val="1"/>
        </w:numPr>
      </w:pPr>
      <w:bookmarkStart w:id="23" w:name="_Toc30013"/>
      <w:r>
        <w:rPr>
          <w:rFonts w:hint="eastAsia"/>
        </w:rPr>
        <w:t>区域概况</w:t>
      </w:r>
      <w:bookmarkEnd w:id="23"/>
    </w:p>
    <w:p w14:paraId="4BD85409">
      <w:pPr>
        <w:pStyle w:val="3"/>
      </w:pPr>
      <w:bookmarkStart w:id="24" w:name="_Toc24424"/>
      <w:r>
        <w:rPr>
          <w:rFonts w:hint="eastAsia"/>
        </w:rPr>
        <w:t>2.1自然环境概况</w:t>
      </w:r>
      <w:bookmarkEnd w:id="24"/>
    </w:p>
    <w:p w14:paraId="712024F9">
      <w:pPr>
        <w:pStyle w:val="4"/>
        <w:rPr>
          <w:rFonts w:hint="default"/>
        </w:rPr>
      </w:pPr>
      <w:bookmarkStart w:id="25" w:name="_Toc10479"/>
      <w:r>
        <w:t>2.1.1地理位置</w:t>
      </w:r>
      <w:bookmarkEnd w:id="25"/>
    </w:p>
    <w:p w14:paraId="47DAC36E">
      <w:pPr>
        <w:ind w:firstLine="560" w:firstLineChars="200"/>
      </w:pPr>
      <w:r>
        <w:t>邵阳县位于湖南省中部偏西南，在邵阳市南部，处资水上游。地处东经110°59′-110°40′、北纬26°40′～27°6′之间。东邻邵东、祁东县，南连东安、新宁县，西接武冈、隆回县，北抵新邵县和邵阳市区。县境东西最长66.7公里，南北最宽64.3公里，总面积2001.01平方千米。</w:t>
      </w:r>
    </w:p>
    <w:p w14:paraId="4C47BAF7">
      <w:pPr>
        <w:pStyle w:val="8"/>
        <w:jc w:val="center"/>
      </w:pPr>
      <w:r>
        <w:rPr>
          <w:rFonts w:ascii="宋体" w:hAnsi="宋体" w:eastAsia="宋体" w:cs="宋体"/>
          <w:sz w:val="24"/>
        </w:rPr>
        <w:drawing>
          <wp:inline distT="0" distB="0" distL="114300" distR="114300">
            <wp:extent cx="5267960" cy="3713480"/>
            <wp:effectExtent l="0" t="0" r="8890" b="127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7"/>
                    <a:stretch>
                      <a:fillRect/>
                    </a:stretch>
                  </pic:blipFill>
                  <pic:spPr>
                    <a:xfrm>
                      <a:off x="0" y="0"/>
                      <a:ext cx="5267960" cy="3713480"/>
                    </a:xfrm>
                    <a:prstGeom prst="rect">
                      <a:avLst/>
                    </a:prstGeom>
                    <a:noFill/>
                    <a:ln w="9525">
                      <a:noFill/>
                    </a:ln>
                  </pic:spPr>
                </pic:pic>
              </a:graphicData>
            </a:graphic>
          </wp:inline>
        </w:drawing>
      </w:r>
    </w:p>
    <w:p w14:paraId="23A2901B">
      <w:pPr>
        <w:pStyle w:val="4"/>
        <w:rPr>
          <w:rFonts w:hint="default"/>
        </w:rPr>
      </w:pPr>
      <w:bookmarkStart w:id="26" w:name="_Toc2165"/>
      <w:r>
        <w:t>2.1.2地形地貌及土地利用</w:t>
      </w:r>
      <w:bookmarkEnd w:id="26"/>
    </w:p>
    <w:p w14:paraId="019EEA85">
      <w:pPr>
        <w:ind w:firstLine="560" w:firstLineChars="200"/>
      </w:pPr>
      <w:r>
        <w:rPr>
          <w:rFonts w:hint="eastAsia"/>
        </w:rPr>
        <w:t>邵阳县地处衡邵丘陵盆地西南边缘向山地过渡地带。南部河伯岭山脉与东部四明山脉相接；中北部黄荆岭石灰岩低山突起，喀斯特地貌发育，背部地势低缓，红土岗地发育。南岭山脉越城岭余脉伸入县境东南部，最高峰河伯岭海拔1454.9米。芙夷水、赧水汇合于境内双江口，成Y形展布北上，檀江纵贯境东，河网密布，溪河两岸形成串联式冲积平原。地貌类型以丘陵为主，山地、平原、岗地兼有。</w:t>
      </w:r>
    </w:p>
    <w:p w14:paraId="6B563E07">
      <w:pPr>
        <w:pStyle w:val="4"/>
        <w:rPr>
          <w:rFonts w:hint="default"/>
        </w:rPr>
      </w:pPr>
      <w:bookmarkStart w:id="27" w:name="_Toc30980"/>
      <w:r>
        <w:t>2.1.3气象条件</w:t>
      </w:r>
      <w:bookmarkEnd w:id="27"/>
    </w:p>
    <w:p w14:paraId="6BD3FC0E">
      <w:pPr>
        <w:ind w:firstLine="560" w:firstLineChars="200"/>
      </w:pPr>
      <w:r>
        <w:rPr>
          <w:rFonts w:hint="eastAsia"/>
        </w:rPr>
        <w:t>邵阳县为中亚热带季风湿润气候区。气候温和，雨量充沛。年均气温17.2℃，一月最冷，平均气温为5.3℃，七月最热，平均气温为28.0℃。雨季出现在汛期4-6月，历年累积平均降水量为502.7mm。</w:t>
      </w:r>
    </w:p>
    <w:p w14:paraId="4F9F66C1">
      <w:r>
        <w:rPr>
          <w:rFonts w:hint="eastAsia"/>
        </w:rPr>
        <w:t>7-9月是干旱时期，历年累积平均降水量为304.9mm。无霜期平均为286.4天，最长的1961年有308天，最短的1969年只有233天。</w:t>
      </w:r>
    </w:p>
    <w:p w14:paraId="7298EF72">
      <w:pPr>
        <w:pStyle w:val="4"/>
        <w:rPr>
          <w:rFonts w:hint="default"/>
        </w:rPr>
      </w:pPr>
      <w:bookmarkStart w:id="28" w:name="_Toc28577"/>
      <w:r>
        <w:t>2.1.4资源环境</w:t>
      </w:r>
      <w:bookmarkEnd w:id="28"/>
    </w:p>
    <w:p w14:paraId="45103327">
      <w:pPr>
        <w:ind w:firstLine="562" w:firstLineChars="200"/>
        <w:rPr>
          <w:rFonts w:ascii="宋体" w:hAnsi="宋体" w:eastAsia="宋体" w:cs="宋体"/>
        </w:rPr>
      </w:pPr>
      <w:r>
        <w:rPr>
          <w:rFonts w:hint="eastAsia" w:ascii="宋体" w:hAnsi="宋体" w:eastAsia="宋体" w:cs="宋体"/>
          <w:b/>
          <w:bCs/>
        </w:rPr>
        <w:t>矿产资源：</w:t>
      </w:r>
      <w:r>
        <w:rPr>
          <w:rFonts w:hint="eastAsia" w:ascii="宋体" w:hAnsi="宋体" w:eastAsia="宋体" w:cs="宋体"/>
        </w:rPr>
        <w:t>邵阳县迄今已基本探明的矿藏有煤、石膏石、大理石、重晶石、锰、锌、铁等20余种。其中无烟煤储量8768万吨，含煤面积197.6平方千米，占邵阳县总面积的10%，为全国重点产煤县。石膏石储量为3.6亿吨，居全市第一，主要分布于长乐、黄亭市，95%以上为硬石膏，平均晶位在92%以亡。大理石储量3.3亿立方米，有宝庆墨玉、桃花红、汉白玉等10多种品种，主要颁布于黄荆、下花桥、白仓、谷洲、郦家坪、五丰铺等地。</w:t>
      </w:r>
    </w:p>
    <w:p w14:paraId="0A8C084D">
      <w:pPr>
        <w:ind w:firstLine="562" w:firstLineChars="200"/>
        <w:rPr>
          <w:rFonts w:ascii="宋体" w:hAnsi="宋体" w:eastAsia="宋体" w:cs="宋体"/>
        </w:rPr>
      </w:pPr>
      <w:r>
        <w:rPr>
          <w:rFonts w:hint="eastAsia" w:ascii="宋体" w:hAnsi="宋体" w:eastAsia="宋体" w:cs="宋体"/>
          <w:b/>
          <w:bCs/>
        </w:rPr>
        <w:t>生物资源：</w:t>
      </w:r>
      <w:r>
        <w:rPr>
          <w:rFonts w:hint="eastAsia" w:ascii="宋体" w:hAnsi="宋体" w:eastAsia="宋体" w:cs="宋体"/>
        </w:rPr>
        <w:t>邵阳县有</w:t>
      </w:r>
      <w:r>
        <w:fldChar w:fldCharType="begin"/>
      </w:r>
      <w:r>
        <w:instrText xml:space="preserve"> HYPERLINK "https://baike.baidu.com/item/%E9%87%8E%E7%94%9F%E6%A4%8D%E7%89%A9/6278976?fromModule=lemma_inlink" \t "https://baike.baidu.com/item/%E9%82%B5%E9%98%B3%E5%8E%BF/_blank" </w:instrText>
      </w:r>
      <w:r>
        <w:fldChar w:fldCharType="separate"/>
      </w:r>
      <w:r>
        <w:rPr>
          <w:rStyle w:val="21"/>
          <w:rFonts w:hint="eastAsia" w:ascii="宋体" w:hAnsi="宋体" w:eastAsia="宋体" w:cs="宋体"/>
          <w:color w:val="auto"/>
          <w:szCs w:val="21"/>
          <w:u w:val="none"/>
          <w:shd w:val="clear" w:color="auto" w:fill="FFFFFF"/>
        </w:rPr>
        <w:t>野生植物</w:t>
      </w:r>
      <w:r>
        <w:rPr>
          <w:rStyle w:val="21"/>
          <w:rFonts w:hint="eastAsia" w:ascii="宋体" w:hAnsi="宋体" w:eastAsia="宋体" w:cs="宋体"/>
          <w:color w:val="auto"/>
          <w:szCs w:val="21"/>
          <w:u w:val="none"/>
          <w:shd w:val="clear" w:color="auto" w:fill="FFFFFF"/>
        </w:rPr>
        <w:fldChar w:fldCharType="end"/>
      </w:r>
      <w:r>
        <w:rPr>
          <w:rFonts w:hint="eastAsia" w:ascii="宋体" w:hAnsi="宋体" w:eastAsia="宋体" w:cs="宋体"/>
        </w:rPr>
        <w:t>约191科485属1166种；其中木本植物95科268属717种，草本植物96科217属449种。有野生动物计168种，其中系国家二级保护珍稀动物有10余种。 </w:t>
      </w:r>
    </w:p>
    <w:p w14:paraId="0AC25AAC">
      <w:pPr>
        <w:ind w:firstLine="562" w:firstLineChars="200"/>
        <w:rPr>
          <w:rFonts w:ascii="宋体" w:hAnsi="宋体" w:eastAsia="宋体" w:cs="宋体"/>
        </w:rPr>
      </w:pPr>
      <w:r>
        <w:rPr>
          <w:rFonts w:hint="eastAsia" w:ascii="宋体" w:hAnsi="宋体" w:eastAsia="宋体" w:cs="宋体"/>
          <w:b/>
          <w:bCs/>
        </w:rPr>
        <w:t>水能资源：</w:t>
      </w:r>
      <w:r>
        <w:rPr>
          <w:rFonts w:hint="eastAsia" w:ascii="宋体" w:hAnsi="宋体" w:eastAsia="宋体" w:cs="宋体"/>
        </w:rPr>
        <w:t>邵阳县境内水资源总量12.73亿立方米，水能理论蕴藏量9.24千瓦，其中夫荑水占31.6%，郝水占23.6%，资江占35.9%，邵水占5.8%，湘江水系占3.1%，可开发量4.6万千瓦，现利用1.65万千瓦，占总量的35%。</w:t>
      </w:r>
    </w:p>
    <w:p w14:paraId="7022156F">
      <w:pPr>
        <w:ind w:firstLine="562" w:firstLineChars="200"/>
        <w:rPr>
          <w:rFonts w:ascii="宋体" w:hAnsi="宋体" w:eastAsia="宋体" w:cs="宋体"/>
        </w:rPr>
      </w:pPr>
      <w:r>
        <w:rPr>
          <w:rFonts w:hint="eastAsia" w:ascii="宋体" w:hAnsi="宋体" w:eastAsia="宋体" w:cs="宋体"/>
          <w:b/>
          <w:bCs/>
        </w:rPr>
        <w:t>水利资源：</w:t>
      </w:r>
      <w:r>
        <w:rPr>
          <w:rFonts w:hint="eastAsia" w:ascii="宋体" w:hAnsi="宋体" w:eastAsia="宋体" w:cs="宋体"/>
        </w:rPr>
        <w:t>邵阳县小Ⅰ型水库46座，小Ⅱ型水库188座，山塘40126口。水资源总量6.71亿立方米，年末全县中小型水库蓄水总量0.37亿立方米，总用水量35395万立方米。</w:t>
      </w:r>
    </w:p>
    <w:p w14:paraId="1BB04710">
      <w:r>
        <w:drawing>
          <wp:inline distT="0" distB="0" distL="114300" distR="114300">
            <wp:extent cx="5273040" cy="2957830"/>
            <wp:effectExtent l="0" t="0" r="3810" b="13970"/>
            <wp:docPr id="2" name="图片 1" descr="IMG_256">
              <a:hlinkClick xmlns:a="http://schemas.openxmlformats.org/drawingml/2006/main" r:id="rId8" tooltip="  天子湖"/>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9"/>
                    <a:stretch>
                      <a:fillRect/>
                    </a:stretch>
                  </pic:blipFill>
                  <pic:spPr>
                    <a:xfrm>
                      <a:off x="0" y="0"/>
                      <a:ext cx="5273040" cy="2957830"/>
                    </a:xfrm>
                    <a:prstGeom prst="rect">
                      <a:avLst/>
                    </a:prstGeom>
                    <a:noFill/>
                    <a:ln w="9525">
                      <a:noFill/>
                    </a:ln>
                  </pic:spPr>
                </pic:pic>
              </a:graphicData>
            </a:graphic>
          </wp:inline>
        </w:drawing>
      </w:r>
    </w:p>
    <w:p w14:paraId="675FAC65">
      <w:pPr>
        <w:pStyle w:val="8"/>
        <w:jc w:val="center"/>
      </w:pPr>
      <w:r>
        <w:rPr>
          <w:rFonts w:hint="eastAsia"/>
        </w:rPr>
        <w:t>天子湖</w:t>
      </w:r>
    </w:p>
    <w:p w14:paraId="0434FD66">
      <w:pPr>
        <w:ind w:firstLine="562" w:firstLineChars="200"/>
        <w:rPr>
          <w:rFonts w:ascii="宋体" w:hAnsi="宋体" w:eastAsia="宋体" w:cs="宋体"/>
        </w:rPr>
      </w:pPr>
      <w:r>
        <w:rPr>
          <w:rFonts w:hint="eastAsia" w:ascii="宋体" w:hAnsi="宋体" w:eastAsia="宋体" w:cs="宋体"/>
          <w:b/>
          <w:bCs/>
        </w:rPr>
        <w:t>土地资源：</w:t>
      </w:r>
      <w:r>
        <w:rPr>
          <w:rFonts w:hint="eastAsia" w:ascii="宋体" w:hAnsi="宋体" w:eastAsia="宋体" w:cs="宋体"/>
        </w:rPr>
        <w:t>邵阳县耕地面积53469.41公顷。共有园地12346.75公顷，林地96084.03公顷，草地1668.84公顷。</w:t>
      </w:r>
    </w:p>
    <w:p w14:paraId="1037AA00">
      <w:pPr>
        <w:pStyle w:val="3"/>
      </w:pPr>
      <w:bookmarkStart w:id="29" w:name="_Toc4569"/>
      <w:r>
        <w:rPr>
          <w:rFonts w:hint="eastAsia"/>
        </w:rPr>
        <w:t>2.2社会经济状况</w:t>
      </w:r>
      <w:bookmarkEnd w:id="29"/>
    </w:p>
    <w:p w14:paraId="48A94D30">
      <w:pPr>
        <w:ind w:firstLine="560" w:firstLineChars="200"/>
        <w:rPr>
          <w:rFonts w:ascii="宋体" w:hAnsi="宋体" w:eastAsia="宋体" w:cs="宋体"/>
        </w:rPr>
      </w:pPr>
      <w:r>
        <w:rPr>
          <w:rFonts w:hint="eastAsia" w:ascii="宋体" w:hAnsi="宋体" w:eastAsia="宋体" w:cs="宋体"/>
        </w:rPr>
        <w:t>全年实现生产总值2350668万元，按可比价计算，同比增长5.5%。其中：第一产业实现增加值537072万元，同比增长3.6%；第二产业实现增加值838636万元，增长7.3%；第三产业实现增加值974959万元，同比增长5.1%。第一、二、三产业比重为22.85：35.68：41.47。人均GDP为33054元，同比增长6.54%。</w:t>
      </w:r>
    </w:p>
    <w:p w14:paraId="55E96685">
      <w:pPr>
        <w:pStyle w:val="3"/>
      </w:pPr>
      <w:bookmarkStart w:id="30" w:name="_Toc15414"/>
      <w:r>
        <w:rPr>
          <w:rFonts w:hint="eastAsia"/>
        </w:rPr>
        <w:t>2.3农业生产概况</w:t>
      </w:r>
      <w:bookmarkEnd w:id="30"/>
    </w:p>
    <w:p w14:paraId="790B7583">
      <w:pPr>
        <w:ind w:firstLine="560" w:firstLineChars="200"/>
        <w:rPr>
          <w:rFonts w:ascii="宋体" w:hAnsi="宋体" w:eastAsia="宋体" w:cs="宋体"/>
        </w:rPr>
      </w:pPr>
      <w:r>
        <w:rPr>
          <w:rFonts w:hint="eastAsia" w:ascii="宋体" w:hAnsi="宋体" w:eastAsia="宋体" w:cs="宋体"/>
        </w:rPr>
        <w:t>2024年，农产品加工企业638家，其中市级以上龙头企业38个。全年农林牧渔业总产值同比增长3.8%，其中农业产值同比增长4.7%，林业产值同比增长4.2%，畜牧业产值同比增长1.4%，渔业产值同比增长9.3%，农林牧渔服务业产值同比增长9.4%。</w:t>
      </w:r>
    </w:p>
    <w:p w14:paraId="2A1FCA1B">
      <w:pPr>
        <w:ind w:firstLine="560" w:firstLineChars="200"/>
        <w:rPr>
          <w:rFonts w:ascii="宋体" w:hAnsi="宋体" w:eastAsia="宋体" w:cs="宋体"/>
        </w:rPr>
      </w:pPr>
      <w:r>
        <w:rPr>
          <w:rFonts w:hint="eastAsia" w:ascii="宋体" w:hAnsi="宋体" w:eastAsia="宋体" w:cs="宋体"/>
        </w:rPr>
        <w:t>全年主要粮食农作物播种面积105.35万亩，谷物种植面积70.01万亩；水稻种植面积84.44万亩，其中早稻28.303万亩；中稻和一季晚稻种植面积28.048万亩，双季晚稻28.0924万亩；烟叶种植面积1.8013万亩；玉米种植面积11.758万亩；高粱种植面积1.162万亩；薯类种植面积2.009万亩；油料种植面积33.4913万亩；其中油菜籽28.2万亩，花生5.2913万亩;蔬菜瓜果种植面积27.4817万亩，其中西瓜种植面积4.4911万亩，草莓种植面积605亩；糖料种植面积1745亩。全年化肥施用量（折纯）2.801万吨。</w:t>
      </w:r>
    </w:p>
    <w:p w14:paraId="0CB59D4A">
      <w:pPr>
        <w:ind w:firstLine="560" w:firstLineChars="200"/>
        <w:rPr>
          <w:rFonts w:ascii="宋体" w:hAnsi="宋体" w:eastAsia="宋体" w:cs="宋体"/>
        </w:rPr>
      </w:pPr>
      <w:r>
        <w:rPr>
          <w:rFonts w:hint="eastAsia" w:ascii="宋体" w:hAnsi="宋体" w:eastAsia="宋体" w:cs="宋体"/>
        </w:rPr>
        <w:t>全年共免疫牲畜108.3万头，免疫家禽480.02万羽，免疫率均达100%。全年出栏生猪88.19万头，增长-0.35%；能繁育母猪5.3万头。出栏肉牛2.07万头，同比增长-0.16%；出栏羊5.6万头，增长-18.25%。</w:t>
      </w:r>
    </w:p>
    <w:p w14:paraId="6210B764">
      <w:pPr>
        <w:ind w:firstLine="560" w:firstLineChars="200"/>
        <w:rPr>
          <w:rFonts w:ascii="宋体" w:hAnsi="宋体" w:eastAsia="宋体" w:cs="宋体"/>
        </w:rPr>
      </w:pPr>
      <w:r>
        <w:rPr>
          <w:rFonts w:hint="eastAsia" w:ascii="宋体" w:hAnsi="宋体" w:eastAsia="宋体" w:cs="宋体"/>
        </w:rPr>
        <w:t>全县完成造林面积4.007千公顷，新造优质油茶林3100亩，油茶籽产量68730吨。</w:t>
      </w:r>
    </w:p>
    <w:p w14:paraId="00ECD095">
      <w:pPr>
        <w:ind w:firstLine="560" w:firstLineChars="200"/>
        <w:rPr>
          <w:rFonts w:ascii="宋体" w:hAnsi="宋体" w:eastAsia="宋体" w:cs="宋体"/>
        </w:rPr>
      </w:pPr>
      <w:r>
        <w:rPr>
          <w:rFonts w:hint="eastAsia" w:ascii="宋体" w:hAnsi="宋体" w:eastAsia="宋体" w:cs="宋体"/>
        </w:rPr>
        <w:t>全年开工各类水利工程329处，完成水利工程土石方0.003645亿立方米，水库除险加固27座。全县小I型水库46座，小Ⅱ型水库188座，山塘39467口。水资源总量18.13亿立方米,年末全县中小型水库蓄水总量0.42亿立方米，总用水量30969.66万立方米。</w:t>
      </w:r>
      <w:r>
        <w:rPr>
          <w:rFonts w:hint="eastAsia" w:ascii="宋体" w:hAnsi="宋体" w:eastAsia="宋体" w:cs="宋体"/>
        </w:rPr>
        <w:br w:type="textWrapping"/>
      </w:r>
      <w:r>
        <w:rPr>
          <w:rFonts w:hint="eastAsia" w:ascii="宋体" w:hAnsi="宋体" w:eastAsia="宋体" w:cs="宋体"/>
        </w:rPr>
        <w:t>全县拥有农业机械总动力652300千瓦。大中型拖拉机695台/45488千瓦。共拥有农用收割机486台，本年新购农用收割机42台。</w:t>
      </w:r>
    </w:p>
    <w:p w14:paraId="2E06536E"/>
    <w:p w14:paraId="6EF3346A"/>
    <w:p w14:paraId="3F38670B"/>
    <w:p w14:paraId="1BBAA9FB"/>
    <w:p w14:paraId="70C35E85"/>
    <w:p w14:paraId="54D367B7"/>
    <w:p w14:paraId="29CC7527"/>
    <w:p w14:paraId="2A2FCC14"/>
    <w:p w14:paraId="057D026F"/>
    <w:p w14:paraId="3B31EC85"/>
    <w:p w14:paraId="3EF96568"/>
    <w:p w14:paraId="14FBB1A4"/>
    <w:p w14:paraId="516AA7C5"/>
    <w:p w14:paraId="5F9A884E"/>
    <w:p w14:paraId="0FAF7F6E"/>
    <w:p w14:paraId="7258608B"/>
    <w:p w14:paraId="432DF0F0">
      <w:pPr>
        <w:pStyle w:val="2"/>
      </w:pPr>
      <w:bookmarkStart w:id="31" w:name="_Toc24710"/>
      <w:r>
        <w:rPr>
          <w:rFonts w:hint="eastAsia"/>
        </w:rPr>
        <w:t>第三章 禁烧区与限烧区划定方案及成果</w:t>
      </w:r>
      <w:bookmarkEnd w:id="31"/>
    </w:p>
    <w:p w14:paraId="6D1BC7AC">
      <w:pPr>
        <w:pStyle w:val="3"/>
        <w:ind w:firstLine="321" w:firstLineChars="100"/>
      </w:pPr>
      <w:bookmarkStart w:id="32" w:name="_Toc17934"/>
      <w:r>
        <w:rPr>
          <w:rFonts w:hint="eastAsia"/>
        </w:rPr>
        <w:t>3.1划定目标与原则</w:t>
      </w:r>
      <w:bookmarkEnd w:id="32"/>
    </w:p>
    <w:p w14:paraId="2597776E">
      <w:pPr>
        <w:widowControl/>
        <w:shd w:val="clear" w:color="auto" w:fill="FFFFFF"/>
        <w:spacing w:line="560" w:lineRule="atLeast"/>
        <w:ind w:firstLine="643"/>
        <w:rPr>
          <w:rFonts w:ascii="宋体" w:hAnsi="宋体" w:eastAsia="宋体" w:cs="宋体"/>
          <w:color w:val="333333"/>
          <w:sz w:val="24"/>
        </w:rPr>
      </w:pPr>
      <w:r>
        <w:rPr>
          <w:rFonts w:hint="eastAsia" w:ascii="宋体" w:hAnsi="宋体" w:eastAsia="宋体" w:cs="宋体"/>
          <w:b/>
          <w:bCs/>
          <w:color w:val="000000"/>
          <w:kern w:val="0"/>
          <w:sz w:val="32"/>
          <w:szCs w:val="32"/>
          <w:shd w:val="clear" w:color="auto" w:fill="FFFFFF"/>
        </w:rPr>
        <w:t>（一）合理性原则</w:t>
      </w:r>
    </w:p>
    <w:p w14:paraId="54A78F35">
      <w:pPr>
        <w:ind w:firstLine="560" w:firstLineChars="200"/>
        <w:rPr>
          <w:rFonts w:ascii="宋体" w:hAnsi="宋体" w:eastAsia="宋体" w:cs="宋体"/>
        </w:rPr>
      </w:pPr>
      <w:r>
        <w:rPr>
          <w:rFonts w:hint="eastAsia" w:ascii="宋体" w:hAnsi="宋体" w:eastAsia="宋体" w:cs="宋体"/>
        </w:rPr>
        <w:t>秸秆禁烧区和限烧区的划定应根据地形条件、气象条件、环流通道、居民集中居住区及上风向、交通主干线（高速、国道、铁路、省的）、易燃易爆物品生产、储存、经营单位，输变电设施、医疗机构、学校等重点区域及环境空气质量状况，结合地方实际与管理需求，合理划定，尽量连续成片，避免破碎化。</w:t>
      </w:r>
    </w:p>
    <w:p w14:paraId="3B0AD2F9">
      <w:pPr>
        <w:widowControl/>
        <w:shd w:val="clear" w:color="auto" w:fill="FFFFFF"/>
        <w:spacing w:line="560" w:lineRule="atLeast"/>
        <w:ind w:firstLine="643"/>
        <w:rPr>
          <w:rFonts w:ascii="宋体" w:hAnsi="宋体" w:eastAsia="宋体" w:cs="宋体"/>
          <w:color w:val="333333"/>
          <w:sz w:val="24"/>
        </w:rPr>
      </w:pPr>
      <w:r>
        <w:rPr>
          <w:rFonts w:hint="eastAsia" w:ascii="宋体" w:hAnsi="宋体" w:eastAsia="宋体" w:cs="宋体"/>
          <w:b/>
          <w:bCs/>
          <w:color w:val="000000"/>
          <w:kern w:val="0"/>
          <w:sz w:val="32"/>
          <w:szCs w:val="32"/>
          <w:shd w:val="clear" w:color="auto" w:fill="FFFFFF"/>
        </w:rPr>
        <w:t>（二）合法性原则</w:t>
      </w:r>
    </w:p>
    <w:p w14:paraId="3F88EF99">
      <w:pPr>
        <w:ind w:firstLine="560" w:firstLineChars="200"/>
        <w:rPr>
          <w:rFonts w:ascii="宋体" w:hAnsi="宋体" w:eastAsia="宋体" w:cs="宋体"/>
        </w:rPr>
      </w:pPr>
      <w:r>
        <w:rPr>
          <w:rFonts w:hint="eastAsia" w:ascii="宋体" w:hAnsi="宋体" w:eastAsia="宋体" w:cs="宋体"/>
        </w:rPr>
        <w:t>秸秆禁烧区划定与其他法律法规中关于区域划分冲突的，以其他法律法规为准。</w:t>
      </w:r>
    </w:p>
    <w:p w14:paraId="507C8AE2">
      <w:pPr>
        <w:widowControl/>
        <w:shd w:val="clear" w:color="auto" w:fill="FFFFFF"/>
        <w:spacing w:line="580" w:lineRule="atLeast"/>
        <w:ind w:firstLine="643"/>
        <w:rPr>
          <w:rFonts w:ascii="宋体" w:hAnsi="宋体" w:eastAsia="宋体" w:cs="宋体"/>
          <w:color w:val="333333"/>
          <w:sz w:val="24"/>
        </w:rPr>
      </w:pPr>
      <w:r>
        <w:rPr>
          <w:rFonts w:hint="eastAsia" w:ascii="宋体" w:hAnsi="宋体" w:eastAsia="宋体" w:cs="宋体"/>
          <w:b/>
          <w:bCs/>
          <w:color w:val="000000"/>
          <w:kern w:val="0"/>
          <w:sz w:val="32"/>
          <w:szCs w:val="32"/>
          <w:shd w:val="clear" w:color="auto" w:fill="FFFFFF"/>
        </w:rPr>
        <w:t>（三）疏堵结合原则</w:t>
      </w:r>
    </w:p>
    <w:p w14:paraId="51619FB7">
      <w:pPr>
        <w:ind w:firstLine="560" w:firstLineChars="200"/>
        <w:rPr>
          <w:rFonts w:ascii="宋体" w:hAnsi="宋体" w:eastAsia="宋体" w:cs="宋体"/>
        </w:rPr>
      </w:pPr>
      <w:r>
        <w:rPr>
          <w:rFonts w:hint="eastAsia" w:ascii="宋体" w:hAnsi="宋体" w:eastAsia="宋体" w:cs="宋体"/>
        </w:rPr>
        <w:t>在禁烧区内全时段禁止露天焚烧秸秆，在限烧区内按环境气象条件要求分时段分区域有序焚烧，避免集中焚烧对空气质量造成污染。</w:t>
      </w:r>
    </w:p>
    <w:p w14:paraId="5AEE782A">
      <w:pPr>
        <w:widowControl/>
        <w:shd w:val="clear" w:color="auto" w:fill="FFFFFF"/>
        <w:spacing w:line="580" w:lineRule="atLeast"/>
        <w:ind w:firstLine="643"/>
        <w:rPr>
          <w:rFonts w:ascii="宋体" w:hAnsi="宋体" w:eastAsia="宋体" w:cs="宋体"/>
          <w:color w:val="333333"/>
          <w:sz w:val="24"/>
        </w:rPr>
      </w:pPr>
      <w:r>
        <w:rPr>
          <w:rFonts w:hint="eastAsia" w:ascii="宋体" w:hAnsi="宋体" w:eastAsia="宋体" w:cs="宋体"/>
          <w:b/>
          <w:bCs/>
          <w:color w:val="000000"/>
          <w:kern w:val="0"/>
          <w:sz w:val="32"/>
          <w:szCs w:val="32"/>
          <w:shd w:val="clear" w:color="auto" w:fill="FFFFFF"/>
        </w:rPr>
        <w:t>（四）动态性原则</w:t>
      </w:r>
    </w:p>
    <w:p w14:paraId="67AC260D">
      <w:pPr>
        <w:ind w:firstLine="560" w:firstLineChars="200"/>
      </w:pPr>
      <w:r>
        <w:rPr>
          <w:rFonts w:hint="eastAsia"/>
        </w:rPr>
        <w:t>秸秆禁烧区和限烧区应根据环境空气质量及土地利用变化情况进行动态调整。</w:t>
      </w:r>
    </w:p>
    <w:p w14:paraId="510E2500">
      <w:pPr>
        <w:pStyle w:val="3"/>
      </w:pPr>
      <w:bookmarkStart w:id="33" w:name="_Toc10232"/>
      <w:r>
        <w:rPr>
          <w:rFonts w:hint="eastAsia"/>
        </w:rPr>
        <w:t>3.2</w:t>
      </w:r>
      <w:r>
        <w:t>划定范围综合分析</w:t>
      </w:r>
      <w:bookmarkEnd w:id="33"/>
    </w:p>
    <w:p w14:paraId="5504A368">
      <w:pPr>
        <w:pStyle w:val="4"/>
        <w:rPr>
          <w:rFonts w:hint="default"/>
        </w:rPr>
      </w:pPr>
      <w:bookmarkStart w:id="34" w:name="_Toc27874"/>
      <w:r>
        <w:rPr>
          <w:rFonts w:hint="default"/>
        </w:rPr>
        <w:t>3.</w:t>
      </w:r>
      <w:r>
        <w:t>2</w:t>
      </w:r>
      <w:r>
        <w:rPr>
          <w:rFonts w:hint="default"/>
        </w:rPr>
        <w:t>.1重点影响空间分析</w:t>
      </w:r>
      <w:bookmarkEnd w:id="34"/>
    </w:p>
    <w:p w14:paraId="13296FA4">
      <w:pPr>
        <w:ind w:firstLine="562" w:firstLineChars="200"/>
      </w:pPr>
      <w:r>
        <w:rPr>
          <w:b/>
          <w:bCs/>
        </w:rPr>
        <w:t>农业生产空间</w:t>
      </w:r>
      <w:r>
        <w:rPr>
          <w:rFonts w:hint="eastAsia"/>
          <w:b/>
          <w:bCs/>
        </w:rPr>
        <w:t>：</w:t>
      </w:r>
      <w:r>
        <w:t>农民在耕地进行农事操作时，需改变传统的秸秆处理方式，不能随意焚烧秸秆，要采用秸秆还田、堆肥等其他处理方式，这可能增加一定的劳动量和成本。</w:t>
      </w:r>
    </w:p>
    <w:p w14:paraId="35F36A40">
      <w:pPr>
        <w:ind w:firstLine="560" w:firstLineChars="200"/>
      </w:pPr>
      <w:r>
        <w:t>对于一些种植大户或农业合作社，可能需要购置相关的秸秆处理设备，如秸秆打捆机等，以满足禁烧限烧要求。</w:t>
      </w:r>
    </w:p>
    <w:p w14:paraId="10F4FF5E">
      <w:pPr>
        <w:ind w:firstLine="562" w:firstLineChars="200"/>
      </w:pPr>
      <w:r>
        <w:rPr>
          <w:b/>
          <w:bCs/>
        </w:rPr>
        <w:t>居民生活空间</w:t>
      </w:r>
      <w:r>
        <w:rPr>
          <w:rFonts w:hint="eastAsia"/>
          <w:b/>
          <w:bCs/>
        </w:rPr>
        <w:t>：</w:t>
      </w:r>
      <w:r>
        <w:t>空气质量得到提升，减少了因焚烧产生的烟雾、灰尘和有害气体，降低了呼吸道疾病等发病率，有利于居民身体健康。</w:t>
      </w:r>
    </w:p>
    <w:p w14:paraId="09CE123E">
      <w:pPr>
        <w:ind w:firstLine="560" w:firstLineChars="200"/>
      </w:pPr>
      <w:r>
        <w:t xml:space="preserve"> 减少了火灾隐患，降低了因秸秆焚烧引发居民住宅火灾的风险，保障了居民生命财产安全。</w:t>
      </w:r>
    </w:p>
    <w:p w14:paraId="0D47FF03">
      <w:pPr>
        <w:ind w:firstLine="562" w:firstLineChars="200"/>
      </w:pPr>
      <w:r>
        <w:rPr>
          <w:b/>
          <w:bCs/>
        </w:rPr>
        <w:t>交通空间</w:t>
      </w:r>
      <w:r>
        <w:rPr>
          <w:rFonts w:hint="eastAsia"/>
          <w:b/>
          <w:bCs/>
        </w:rPr>
        <w:t>：</w:t>
      </w:r>
      <w:r>
        <w:t>交通干线附近因焚烧产生的烟雾不再出现，能见度提高，减少了对交通视线的干扰，降低了交通事故发生的概率，保障了交通运输安全。</w:t>
      </w:r>
    </w:p>
    <w:p w14:paraId="63BA0E15">
      <w:pPr>
        <w:ind w:firstLine="562" w:firstLineChars="200"/>
      </w:pPr>
      <w:r>
        <w:rPr>
          <w:b/>
          <w:bCs/>
        </w:rPr>
        <w:t>生态空间</w:t>
      </w:r>
      <w:r>
        <w:rPr>
          <w:rFonts w:hint="eastAsia"/>
          <w:b/>
          <w:bCs/>
        </w:rPr>
        <w:t>：</w:t>
      </w:r>
      <w:r>
        <w:t>生态敏感区域如自然保护区、河流湖泊周边的生态环境得到有效保护，避免了焚烧对生态系统的破坏，有利于维护生物多样性和生态平衡。</w:t>
      </w:r>
    </w:p>
    <w:p w14:paraId="76439AB5">
      <w:pPr>
        <w:ind w:firstLine="560" w:firstLineChars="200"/>
      </w:pPr>
      <w:r>
        <w:t xml:space="preserve"> 城市周边的耕地禁烧限烧，有助于减少城市的空气污染，改善城市生态环境，提升城市的宜居性。</w:t>
      </w:r>
    </w:p>
    <w:p w14:paraId="270D789A">
      <w:pPr>
        <w:pStyle w:val="4"/>
        <w:rPr>
          <w:rFonts w:hint="default"/>
        </w:rPr>
      </w:pPr>
      <w:bookmarkStart w:id="35" w:name="_Toc14238"/>
      <w:r>
        <w:rPr>
          <w:rFonts w:hint="default"/>
        </w:rPr>
        <w:t>3.</w:t>
      </w:r>
      <w:r>
        <w:t>2</w:t>
      </w:r>
      <w:r>
        <w:rPr>
          <w:rFonts w:hint="default"/>
        </w:rPr>
        <w:t xml:space="preserve">.2 </w:t>
      </w:r>
      <w:r>
        <w:t>重</w:t>
      </w:r>
      <w:r>
        <w:rPr>
          <w:rFonts w:hint="default"/>
        </w:rPr>
        <w:t>点空间耕地特征</w:t>
      </w:r>
      <w:bookmarkEnd w:id="35"/>
    </w:p>
    <w:p w14:paraId="6CAE2759">
      <w:pPr>
        <w:ind w:firstLine="562" w:firstLineChars="200"/>
      </w:pPr>
      <w:r>
        <w:rPr>
          <w:b/>
          <w:bCs/>
        </w:rPr>
        <w:t>靠近居民区</w:t>
      </w:r>
      <w:r>
        <w:t>：这些耕地距离居民住宅较近，焚烧秸秆等行为产生的浓烟、异味和灰尘容易影响居民的日常生活和身体健康，引发呼吸道疾病等问题，还可能存在火灾隐患，威胁居民生命财产安全。</w:t>
      </w:r>
    </w:p>
    <w:p w14:paraId="590EA8C3">
      <w:pPr>
        <w:ind w:firstLine="562" w:firstLineChars="200"/>
      </w:pPr>
      <w:r>
        <w:rPr>
          <w:b/>
          <w:bCs/>
        </w:rPr>
        <w:t>处于交通要道附近</w:t>
      </w:r>
      <w:r>
        <w:t>：在公路、铁路等交通干线周边的耕地，若进行焚烧，产生的烟雾会降低能见度，干扰交通视线，增加交通事故发生的风险，影响交通运输安全。</w:t>
      </w:r>
    </w:p>
    <w:p w14:paraId="494E87AF">
      <w:pPr>
        <w:ind w:firstLine="562" w:firstLineChars="200"/>
      </w:pPr>
      <w:r>
        <w:rPr>
          <w:b/>
          <w:bCs/>
        </w:rPr>
        <w:t>位于生态敏感区域周边</w:t>
      </w:r>
      <w:r>
        <w:t>：如自然保护区、森林公园、河流湖泊等生态脆弱或重要的生态区域附近的耕地。焚烧行为可能会对这些生态区域的环境质量、生物多样性造成破坏，影响生态平衡。</w:t>
      </w:r>
    </w:p>
    <w:p w14:paraId="5C514FE8">
      <w:pPr>
        <w:ind w:firstLine="562" w:firstLineChars="200"/>
      </w:pPr>
      <w:r>
        <w:rPr>
          <w:b/>
          <w:bCs/>
        </w:rPr>
        <w:t>在城市上风向</w:t>
      </w:r>
      <w:r>
        <w:t>：处于城市上风向的耕地，一旦焚烧，污染物会随着风向城市扩散，严重影响城市空气质量，加剧城市的空气污染状况，对城市居民的生产生活产生负面影响。</w:t>
      </w:r>
    </w:p>
    <w:p w14:paraId="400003CC">
      <w:pPr>
        <w:pStyle w:val="4"/>
        <w:rPr>
          <w:rFonts w:hint="default"/>
        </w:rPr>
      </w:pPr>
      <w:bookmarkStart w:id="36" w:name="_Toc16047"/>
      <w:r>
        <w:rPr>
          <w:rFonts w:hint="default"/>
        </w:rPr>
        <w:t>3</w:t>
      </w:r>
      <w:r>
        <w:t>.2.3</w:t>
      </w:r>
      <w:r>
        <w:rPr>
          <w:rFonts w:hint="default"/>
        </w:rPr>
        <w:t>其他范围分析识别</w:t>
      </w:r>
      <w:bookmarkEnd w:id="36"/>
    </w:p>
    <w:p w14:paraId="3BAAA316">
      <w:pPr>
        <w:ind w:firstLine="560" w:firstLineChars="200"/>
      </w:pPr>
      <w:r>
        <w:t>禁烧限烧的范围通常由政府根据相关法律法规和实际情况进行划定，以下是一些常见的禁烧限烧其他范围分析识别依据：</w:t>
      </w:r>
    </w:p>
    <w:p w14:paraId="4B6B9221">
      <w:pPr>
        <w:ind w:firstLine="562" w:firstLineChars="200"/>
      </w:pPr>
      <w:r>
        <w:rPr>
          <w:b/>
          <w:bCs/>
        </w:rPr>
        <w:t>交通干线周边</w:t>
      </w:r>
      <w:r>
        <w:t>：高速公路、铁路沿线两侧2公里范围内，国道、省道公路干线两侧1公里范围内通常为禁烧区。这些区域焚烧秸秆等产生的烟雾会影响交通视线，增加交通事故风险，还可能对交通设施造成损害。</w:t>
      </w:r>
    </w:p>
    <w:p w14:paraId="7E40C7EC">
      <w:pPr>
        <w:ind w:firstLine="562" w:firstLineChars="200"/>
      </w:pPr>
      <w:r>
        <w:rPr>
          <w:b/>
          <w:bCs/>
        </w:rPr>
        <w:t>特殊保护区域</w:t>
      </w:r>
      <w:r>
        <w:t>：各级自然保护区、公园、文物保护单位等区域及其边缘外延1公里范围内为禁烧区。焚烧行为可能会对这些区域的生态环境、文化遗产等造成破坏。油库、粮库、高压输电线路、通讯设施、危险化学品生产储存设施设备、风力发电装置等所在区域及其边缘外延1公里范围内也是禁烧区，以防止火灾引发安全事故。</w:t>
      </w:r>
    </w:p>
    <w:p w14:paraId="4D87C83D">
      <w:pPr>
        <w:ind w:firstLine="562" w:firstLineChars="200"/>
      </w:pPr>
      <w:r>
        <w:rPr>
          <w:b/>
          <w:bCs/>
        </w:rPr>
        <w:t>人口集中地区</w:t>
      </w:r>
      <w:r>
        <w:t>：县市区所在城镇开发边界内及边缘</w:t>
      </w:r>
      <w:r>
        <w:rPr>
          <w:rFonts w:hint="eastAsia"/>
        </w:rPr>
        <w:t>5</w:t>
      </w:r>
      <w:r>
        <w:t>公里范围内属于禁烧区。人口密集区域焚烧秸秆会产生大量烟尘和有害气体，严重影响居民的生活环境和身体健康。</w:t>
      </w:r>
    </w:p>
    <w:p w14:paraId="3E93F5BF">
      <w:pPr>
        <w:ind w:firstLine="560" w:firstLineChars="200"/>
      </w:pPr>
      <w:r>
        <w:t>除了以上明确划定为禁烧区的范围外，其他区域通常为限烧区。但在限烧区内，遇到风速小、静稳、逆温等不利于大气污染扩散的天气，下雨天或者秸秆潮湿不能充分燃烧的天气，当日19：00至次日7：00的夜间时段等特殊情况时，也禁止露天焚烧秸秆。</w:t>
      </w:r>
    </w:p>
    <w:p w14:paraId="0D2D6BCF">
      <w:pPr>
        <w:pStyle w:val="3"/>
      </w:pPr>
      <w:bookmarkStart w:id="37" w:name="_Toc6302"/>
      <w:r>
        <w:t>3.3划定方案及成果</w:t>
      </w:r>
      <w:bookmarkEnd w:id="37"/>
    </w:p>
    <w:p w14:paraId="4AC80325">
      <w:pPr>
        <w:pStyle w:val="4"/>
        <w:rPr>
          <w:rFonts w:hint="default"/>
        </w:rPr>
      </w:pPr>
      <w:bookmarkStart w:id="38" w:name="_Toc3739"/>
      <w:r>
        <w:rPr>
          <w:rFonts w:hint="default"/>
        </w:rPr>
        <w:t>3.3.1要素选取</w:t>
      </w:r>
      <w:bookmarkEnd w:id="38"/>
    </w:p>
    <w:p w14:paraId="44BE1DB9">
      <w:pPr>
        <w:pStyle w:val="5"/>
      </w:pPr>
      <w:r>
        <w:rPr>
          <w:rFonts w:hint="eastAsia"/>
        </w:rPr>
        <w:t>3.3.1.1</w:t>
      </w:r>
      <w:r>
        <w:t>地理信息数据</w:t>
      </w:r>
    </w:p>
    <w:p w14:paraId="119BD77B">
      <w:pPr>
        <w:widowControl/>
        <w:spacing w:beforeAutospacing="1" w:afterAutospacing="1"/>
        <w:ind w:firstLine="562" w:firstLineChars="200"/>
      </w:pPr>
      <w:r>
        <w:rPr>
          <w:rStyle w:val="20"/>
          <w:rFonts w:hint="eastAsia" w:ascii="宋体" w:hAnsi="宋体" w:eastAsia="宋体" w:cs="宋体"/>
          <w:bCs/>
          <w:color w:val="000000"/>
          <w:szCs w:val="28"/>
          <w:shd w:val="clear" w:color="auto" w:fill="F5F5F5"/>
        </w:rPr>
        <w:t>（1）基础地理数据</w:t>
      </w:r>
      <w:r>
        <w:rPr>
          <w:rFonts w:ascii="Segoe UI" w:hAnsi="Segoe UI" w:eastAsia="Segoe UI" w:cs="Segoe UI"/>
          <w:color w:val="000000"/>
          <w:sz w:val="24"/>
          <w:shd w:val="clear" w:color="auto" w:fill="F5F5F5"/>
        </w:rPr>
        <w:t>：</w:t>
      </w:r>
      <w:r>
        <w:t>包括地形地貌数据（如等高线、高程点等），用于分析区域地形对秸秆焚烧扩散的影响，以及确定禁烧区和限烧区边界时考虑地形因素；水系数据（河流、湖泊等），明确水体周边禁烧范围，避免焚烧对水体造成污染；道路数据（高速公路、铁路、国道、省道等），精准划定交通干线两侧禁烧区范围 。</w:t>
      </w:r>
    </w:p>
    <w:p w14:paraId="5BEE8718">
      <w:pPr>
        <w:widowControl/>
        <w:spacing w:before="120" w:afterAutospacing="1"/>
        <w:ind w:firstLine="562" w:firstLineChars="200"/>
      </w:pPr>
      <w:r>
        <w:rPr>
          <w:rStyle w:val="20"/>
          <w:rFonts w:hint="eastAsia" w:ascii="宋体" w:hAnsi="宋体" w:eastAsia="宋体" w:cs="宋体"/>
          <w:bCs/>
          <w:color w:val="000000"/>
          <w:szCs w:val="28"/>
          <w:shd w:val="clear" w:color="auto" w:fill="F5F5F5"/>
        </w:rPr>
        <w:t>（2）</w:t>
      </w:r>
      <w:r>
        <w:rPr>
          <w:rStyle w:val="20"/>
          <w:rFonts w:ascii="宋体" w:hAnsi="宋体" w:eastAsia="宋体" w:cs="宋体"/>
          <w:bCs/>
          <w:color w:val="000000"/>
          <w:szCs w:val="28"/>
          <w:shd w:val="clear" w:color="auto" w:fill="F5F5F5"/>
        </w:rPr>
        <w:t>土地利用数据</w:t>
      </w:r>
      <w:r>
        <w:rPr>
          <w:rFonts w:ascii="Segoe UI" w:hAnsi="Segoe UI" w:eastAsia="Segoe UI" w:cs="Segoe UI"/>
          <w:color w:val="000000"/>
          <w:sz w:val="24"/>
          <w:shd w:val="clear" w:color="auto" w:fill="F5F5F5"/>
        </w:rPr>
        <w:t>：</w:t>
      </w:r>
      <w:r>
        <w:t>涵盖耕地、林地、草地、建设用地等土地利用类型分布数据，有助于确定农作物秸秆产生区域和需要重点保护的生态区域，为合理划定禁烧区和限烧区提供依据 。例如，耕地集中区域是秸秆产生重点区域，需重点关注；林地周边应严格划定禁烧范围，防止引发森林火灾。</w:t>
      </w:r>
    </w:p>
    <w:p w14:paraId="491530D6">
      <w:pPr>
        <w:pStyle w:val="5"/>
      </w:pPr>
      <w:r>
        <w:rPr>
          <w:rFonts w:hint="eastAsia"/>
        </w:rPr>
        <w:t>3.3.1.2</w:t>
      </w:r>
      <w:r>
        <w:t>禁烧限烧区域信息</w:t>
      </w:r>
    </w:p>
    <w:p w14:paraId="52A5B912">
      <w:pPr>
        <w:widowControl/>
        <w:spacing w:beforeAutospacing="1" w:afterAutospacing="1"/>
        <w:ind w:firstLine="562" w:firstLineChars="200"/>
      </w:pPr>
      <w:r>
        <w:rPr>
          <w:rStyle w:val="20"/>
          <w:rFonts w:hint="eastAsia" w:ascii="宋体" w:hAnsi="宋体" w:eastAsia="宋体" w:cs="宋体"/>
          <w:bCs/>
          <w:color w:val="000000"/>
          <w:szCs w:val="28"/>
          <w:shd w:val="clear" w:color="auto" w:fill="F5F5F5"/>
        </w:rPr>
        <w:t>（1）</w:t>
      </w:r>
      <w:r>
        <w:rPr>
          <w:rStyle w:val="20"/>
          <w:rFonts w:ascii="宋体" w:hAnsi="宋体" w:eastAsia="宋体" w:cs="宋体"/>
          <w:bCs/>
          <w:color w:val="000000"/>
          <w:szCs w:val="28"/>
          <w:shd w:val="clear" w:color="auto" w:fill="F5F5F5"/>
        </w:rPr>
        <w:t>范围边界信息</w:t>
      </w:r>
      <w:r>
        <w:rPr>
          <w:rFonts w:ascii="Segoe UI" w:hAnsi="Segoe UI" w:eastAsia="Segoe UI" w:cs="Segoe UI"/>
          <w:color w:val="000000"/>
          <w:sz w:val="24"/>
          <w:shd w:val="clear" w:color="auto" w:fill="F5F5F5"/>
        </w:rPr>
        <w:t>：</w:t>
      </w:r>
      <w:r>
        <w:t>明确标注禁烧区和限烧区的边界拐点坐标，形成精确的边界矢量数据，可通过地理信息系统（GIS）进行可视化展示和管理。同时，对边界走向、长度等进行详细记录说明，确保边界清晰无争议 。</w:t>
      </w:r>
    </w:p>
    <w:p w14:paraId="24FC8596">
      <w:pPr>
        <w:widowControl/>
        <w:spacing w:before="120" w:afterAutospacing="1"/>
        <w:ind w:firstLine="562" w:firstLineChars="200"/>
      </w:pPr>
      <w:r>
        <w:rPr>
          <w:rStyle w:val="20"/>
          <w:rFonts w:hint="eastAsia" w:ascii="宋体" w:hAnsi="宋体" w:eastAsia="宋体" w:cs="宋体"/>
          <w:bCs/>
          <w:color w:val="000000"/>
          <w:szCs w:val="28"/>
          <w:shd w:val="clear" w:color="auto" w:fill="F5F5F5"/>
        </w:rPr>
        <w:t>（2）</w:t>
      </w:r>
      <w:r>
        <w:rPr>
          <w:rStyle w:val="20"/>
          <w:rFonts w:ascii="宋体" w:hAnsi="宋体" w:eastAsia="宋体" w:cs="宋体"/>
          <w:bCs/>
          <w:color w:val="000000"/>
          <w:szCs w:val="28"/>
          <w:shd w:val="clear" w:color="auto" w:fill="F5F5F5"/>
        </w:rPr>
        <w:t>面积信息</w:t>
      </w:r>
      <w:r>
        <w:rPr>
          <w:rFonts w:ascii="Segoe UI" w:hAnsi="Segoe UI" w:eastAsia="Segoe UI" w:cs="Segoe UI"/>
          <w:color w:val="000000"/>
          <w:sz w:val="24"/>
          <w:shd w:val="clear" w:color="auto" w:fill="F5F5F5"/>
        </w:rPr>
        <w:t>：</w:t>
      </w:r>
      <w:r>
        <w:t>统计禁烧区和限烧区各自的面积，以及不同类型区域（如城镇周边禁烧区面积、交通干线两侧禁烧区面积等）的面积数据，为后续监管资源分配、政策实施效果评估等提供量化依据 。</w:t>
      </w:r>
    </w:p>
    <w:p w14:paraId="2C383559">
      <w:pPr>
        <w:pStyle w:val="5"/>
      </w:pPr>
      <w:r>
        <w:rPr>
          <w:rFonts w:hint="eastAsia"/>
        </w:rPr>
        <w:t>3.3.1.3</w:t>
      </w:r>
      <w:r>
        <w:t>管控措施信息</w:t>
      </w:r>
    </w:p>
    <w:p w14:paraId="45C0730E">
      <w:pPr>
        <w:pStyle w:val="5"/>
        <w:ind w:firstLine="562" w:firstLineChars="200"/>
        <w:rPr>
          <w:rFonts w:asciiTheme="minorHAnsi" w:hAnsiTheme="minorHAnsi" w:eastAsiaTheme="minorEastAsia"/>
          <w:b w:val="0"/>
        </w:rPr>
      </w:pPr>
      <w:r>
        <w:rPr>
          <w:rFonts w:hint="eastAsia"/>
        </w:rPr>
        <w:t>（1）</w:t>
      </w:r>
      <w:r>
        <w:t>禁烧区管控措施细则</w:t>
      </w:r>
      <w:r>
        <w:rPr>
          <w:rFonts w:ascii="Segoe UI" w:hAnsi="Segoe UI" w:eastAsia="Segoe UI" w:cs="Segoe UI"/>
          <w:color w:val="000000"/>
          <w:sz w:val="24"/>
          <w:shd w:val="clear" w:color="auto" w:fill="F5F5F5"/>
        </w:rPr>
        <w:t>：</w:t>
      </w:r>
      <w:r>
        <w:rPr>
          <w:rFonts w:asciiTheme="minorHAnsi" w:hAnsiTheme="minorHAnsi" w:eastAsiaTheme="minorEastAsia"/>
          <w:b w:val="0"/>
        </w:rPr>
        <w:t>包括巡查制度（如巡查频率、巡查路线、巡查人员配备等）、执法流程（发现违规后的处理程序、处罚标准等）、宣传教育措施（宣传方式、宣传内容、宣传对象等）等详细信息记录，以便在禁烧区管理中严格执行 。</w:t>
      </w:r>
    </w:p>
    <w:p w14:paraId="1A0697EB">
      <w:pPr>
        <w:widowControl/>
        <w:spacing w:before="120" w:afterAutospacing="1"/>
        <w:ind w:firstLine="562" w:firstLineChars="200"/>
      </w:pPr>
      <w:r>
        <w:rPr>
          <w:rFonts w:hint="eastAsia" w:ascii="Arial" w:hAnsi="Arial" w:eastAsia="黑体"/>
          <w:b/>
        </w:rPr>
        <w:t>（2）</w:t>
      </w:r>
      <w:r>
        <w:rPr>
          <w:rFonts w:ascii="Arial" w:hAnsi="Arial" w:eastAsia="黑体"/>
          <w:b/>
        </w:rPr>
        <w:t>限烧区管控措施细则</w:t>
      </w:r>
      <w:r>
        <w:rPr>
          <w:rFonts w:ascii="Segoe UI" w:hAnsi="Segoe UI" w:eastAsia="Segoe UI" w:cs="Segoe UI"/>
          <w:color w:val="000000"/>
          <w:sz w:val="24"/>
          <w:shd w:val="clear" w:color="auto" w:fill="F5F5F5"/>
        </w:rPr>
        <w:t>：</w:t>
      </w:r>
      <w:r>
        <w:t>明确限烧区允许焚烧的条件、审批流程（农户或单位申请焚烧的程序、所需材料等）、焚烧现场监管要求（监管人员职责、监管内容等）、禁烧时段的应急处置措施等，保障限烧区焚烧活动安全有序进行 。</w:t>
      </w:r>
    </w:p>
    <w:p w14:paraId="11D3F9B5">
      <w:pPr>
        <w:pStyle w:val="5"/>
      </w:pPr>
      <w:r>
        <w:rPr>
          <w:rFonts w:hint="eastAsia"/>
        </w:rPr>
        <w:t>3.3.1.4</w:t>
      </w:r>
      <w:r>
        <w:t>动态更新信息</w:t>
      </w:r>
    </w:p>
    <w:p w14:paraId="6335203A">
      <w:pPr>
        <w:pStyle w:val="5"/>
        <w:ind w:firstLine="562" w:firstLineChars="200"/>
        <w:rPr>
          <w:rFonts w:asciiTheme="minorHAnsi" w:hAnsiTheme="minorHAnsi" w:eastAsiaTheme="minorEastAsia"/>
          <w:b w:val="0"/>
        </w:rPr>
      </w:pPr>
      <w:r>
        <w:rPr>
          <w:rFonts w:hint="eastAsia"/>
        </w:rPr>
        <w:t>（1）更新时间记录</w:t>
      </w:r>
      <w:r>
        <w:rPr>
          <w:rFonts w:ascii="Segoe UI" w:hAnsi="Segoe UI" w:eastAsia="Segoe UI" w:cs="Segoe UI"/>
          <w:color w:val="000000"/>
          <w:sz w:val="24"/>
          <w:shd w:val="clear" w:color="auto" w:fill="F5F5F5"/>
        </w:rPr>
        <w:t>：</w:t>
      </w:r>
      <w:r>
        <w:rPr>
          <w:rFonts w:asciiTheme="minorHAnsi" w:hAnsiTheme="minorHAnsi" w:eastAsiaTheme="minorEastAsia"/>
          <w:b w:val="0"/>
        </w:rPr>
        <w:t>每次对禁烧区和限烧区进行调整后，详细记录更新时间，方便追溯和管理 。</w:t>
      </w:r>
    </w:p>
    <w:p w14:paraId="3C7426C4">
      <w:pPr>
        <w:widowControl/>
        <w:spacing w:before="120" w:afterAutospacing="1"/>
        <w:ind w:firstLine="562" w:firstLineChars="200"/>
      </w:pPr>
      <w:r>
        <w:rPr>
          <w:rFonts w:hint="eastAsia" w:ascii="Arial" w:hAnsi="Arial" w:eastAsia="黑体"/>
          <w:b/>
        </w:rPr>
        <w:t>（2）</w:t>
      </w:r>
      <w:r>
        <w:rPr>
          <w:rFonts w:ascii="Arial" w:hAnsi="Arial" w:eastAsia="黑体"/>
          <w:b/>
        </w:rPr>
        <w:t>更新原因说明</w:t>
      </w:r>
      <w:r>
        <w:rPr>
          <w:rFonts w:ascii="Segoe UI" w:hAnsi="Segoe UI" w:eastAsia="Segoe UI" w:cs="Segoe UI"/>
          <w:color w:val="000000"/>
          <w:sz w:val="24"/>
          <w:shd w:val="clear" w:color="auto" w:fill="F5F5F5"/>
        </w:rPr>
        <w:t>：</w:t>
      </w:r>
      <w:r>
        <w:t>记录调整的原因，如因环境空气质量变化、城市建设扩张、土地利用变更等，为后续分析和决策提供参考依据 。</w:t>
      </w:r>
    </w:p>
    <w:p w14:paraId="1B61A7C1">
      <w:pPr>
        <w:pStyle w:val="4"/>
        <w:rPr>
          <w:rFonts w:hint="default" w:cs="宋体"/>
          <w:sz w:val="28"/>
          <w:szCs w:val="28"/>
        </w:rPr>
      </w:pPr>
      <w:bookmarkStart w:id="39" w:name="_Toc28089"/>
      <w:r>
        <w:rPr>
          <w:rFonts w:cs="宋体"/>
          <w:sz w:val="28"/>
          <w:szCs w:val="28"/>
        </w:rPr>
        <w:t>3.3.2 划定过程</w:t>
      </w:r>
      <w:bookmarkEnd w:id="39"/>
    </w:p>
    <w:p w14:paraId="034C1BA4">
      <w:r>
        <w:rPr>
          <w:rFonts w:hint="eastAsia"/>
        </w:rPr>
        <w:t>禁烧区与限烧区的划定过程通常如下：</w:t>
      </w:r>
    </w:p>
    <w:p w14:paraId="562564D0">
      <w:pPr>
        <w:rPr>
          <w:b/>
          <w:bCs/>
        </w:rPr>
      </w:pPr>
      <w:r>
        <w:rPr>
          <w:rFonts w:hint="eastAsia"/>
          <w:b/>
          <w:bCs/>
        </w:rPr>
        <w:t>前期准备</w:t>
      </w:r>
    </w:p>
    <w:p w14:paraId="5F319356">
      <w:pPr>
        <w:ind w:firstLine="562" w:firstLineChars="200"/>
      </w:pPr>
      <w:r>
        <w:rPr>
          <w:rFonts w:hint="eastAsia"/>
          <w:b/>
          <w:bCs/>
        </w:rPr>
        <w:t>成立工作小组</w:t>
      </w:r>
      <w:r>
        <w:rPr>
          <w:rFonts w:hint="eastAsia"/>
        </w:rPr>
        <w:t>：由政府相关部门如生态环境、农业农村、自然资源等部门组成，明确各部门职责。</w:t>
      </w:r>
    </w:p>
    <w:p w14:paraId="2BCB3C05">
      <w:pPr>
        <w:ind w:firstLine="562" w:firstLineChars="200"/>
      </w:pPr>
      <w:r>
        <w:rPr>
          <w:rFonts w:hint="eastAsia"/>
          <w:b/>
          <w:bCs/>
        </w:rPr>
        <w:t>收集资料</w:t>
      </w:r>
      <w:r>
        <w:rPr>
          <w:rFonts w:hint="eastAsia"/>
        </w:rPr>
        <w:t>：收集区域内的土地利用规划、人口分布、交通干线、自然保护区、气象数据等相关资料，为划定提供依据。</w:t>
      </w:r>
    </w:p>
    <w:p w14:paraId="444DD7BB">
      <w:pPr>
        <w:rPr>
          <w:b/>
          <w:bCs/>
        </w:rPr>
      </w:pPr>
      <w:r>
        <w:rPr>
          <w:rFonts w:hint="eastAsia"/>
          <w:b/>
          <w:bCs/>
        </w:rPr>
        <w:t>划定草案编制</w:t>
      </w:r>
    </w:p>
    <w:p w14:paraId="0BAEBA8E">
      <w:pPr>
        <w:ind w:firstLine="562" w:firstLineChars="200"/>
      </w:pPr>
      <w:r>
        <w:rPr>
          <w:rFonts w:hint="eastAsia"/>
          <w:b/>
          <w:bCs/>
        </w:rPr>
        <w:t>确定划定依据</w:t>
      </w:r>
      <w:r>
        <w:rPr>
          <w:rFonts w:hint="eastAsia"/>
        </w:rPr>
        <w:t>：依据《中华人民共和国环境保护法》《中华人民共和国大气污染防治法》等相关法律法规，以及上级政府有关秸秆禁烧和大气污染防治的政策文件。</w:t>
      </w:r>
    </w:p>
    <w:p w14:paraId="3409BA6E">
      <w:pPr>
        <w:ind w:firstLine="562" w:firstLineChars="200"/>
      </w:pPr>
      <w:r>
        <w:rPr>
          <w:rFonts w:hint="eastAsia"/>
          <w:b/>
          <w:bCs/>
        </w:rPr>
        <w:t>初步划定范围</w:t>
      </w:r>
      <w:r>
        <w:rPr>
          <w:rFonts w:hint="eastAsia"/>
        </w:rPr>
        <w:t>：根据收集的资料，结合本地实际情况，按照人口集中地区、交通干线周边、特殊保护区域等通常的禁烧区划定标准，初步确定禁烧区范围，其余区域则初步划定为限烧区。</w:t>
      </w:r>
    </w:p>
    <w:p w14:paraId="42C251D2">
      <w:pPr>
        <w:rPr>
          <w:b/>
          <w:bCs/>
        </w:rPr>
      </w:pPr>
      <w:r>
        <w:rPr>
          <w:rFonts w:hint="eastAsia"/>
          <w:b/>
          <w:bCs/>
        </w:rPr>
        <w:t>征求意见与公示</w:t>
      </w:r>
    </w:p>
    <w:p w14:paraId="2C4E3441">
      <w:pPr>
        <w:ind w:firstLine="562" w:firstLineChars="200"/>
      </w:pPr>
      <w:r>
        <w:rPr>
          <w:rFonts w:hint="eastAsia"/>
          <w:b/>
          <w:bCs/>
        </w:rPr>
        <w:t>征求部门意见</w:t>
      </w:r>
      <w:r>
        <w:rPr>
          <w:rFonts w:hint="eastAsia"/>
        </w:rPr>
        <w:t>：将划定草案发送给相关部门，如交通、林业、气象等，征求他们的意见和建议。</w:t>
      </w:r>
    </w:p>
    <w:p w14:paraId="205FF08B">
      <w:pPr>
        <w:ind w:firstLine="562" w:firstLineChars="200"/>
      </w:pPr>
      <w:r>
        <w:rPr>
          <w:rFonts w:hint="eastAsia"/>
          <w:b/>
          <w:bCs/>
        </w:rPr>
        <w:t>征求公众意见</w:t>
      </w:r>
      <w:r>
        <w:rPr>
          <w:rFonts w:hint="eastAsia"/>
        </w:rPr>
        <w:t>：通过政府门户网站、新闻媒体等渠道，向社会公示划定草案，公开征求公众意见，公示期一般不少于 30 天。</w:t>
      </w:r>
    </w:p>
    <w:p w14:paraId="18F98F7E">
      <w:pPr>
        <w:rPr>
          <w:b/>
          <w:bCs/>
        </w:rPr>
      </w:pPr>
      <w:r>
        <w:rPr>
          <w:rFonts w:hint="eastAsia"/>
          <w:b/>
          <w:bCs/>
        </w:rPr>
        <w:t>专家评审与修改完善</w:t>
      </w:r>
    </w:p>
    <w:p w14:paraId="40676509">
      <w:pPr>
        <w:ind w:firstLine="562" w:firstLineChars="200"/>
      </w:pPr>
      <w:r>
        <w:rPr>
          <w:rFonts w:hint="eastAsia"/>
          <w:b/>
          <w:bCs/>
        </w:rPr>
        <w:t>组织专家评审</w:t>
      </w:r>
      <w:r>
        <w:rPr>
          <w:rFonts w:hint="eastAsia"/>
        </w:rPr>
        <w:t>：邀请相关领域的专家对划定草案进行评审，专家从专业角度对草案的科学性、合理性等方面进行评估，并提出意见和建议。</w:t>
      </w:r>
    </w:p>
    <w:p w14:paraId="0CF05E7D">
      <w:pPr>
        <w:ind w:firstLine="562" w:firstLineChars="200"/>
      </w:pPr>
      <w:r>
        <w:rPr>
          <w:rFonts w:hint="eastAsia"/>
          <w:b/>
          <w:bCs/>
        </w:rPr>
        <w:t>修改完善</w:t>
      </w:r>
      <w:r>
        <w:rPr>
          <w:rFonts w:hint="eastAsia"/>
        </w:rPr>
        <w:t>：根据部门意见、公众意见和专家评审意见，对划定草案进行修改和完善，确保划定方案更加科学、合理、可行。</w:t>
      </w:r>
    </w:p>
    <w:p w14:paraId="080772E2">
      <w:pPr>
        <w:rPr>
          <w:b/>
          <w:bCs/>
        </w:rPr>
      </w:pPr>
      <w:r>
        <w:rPr>
          <w:rFonts w:hint="eastAsia"/>
          <w:b/>
          <w:bCs/>
        </w:rPr>
        <w:t>审议与发布</w:t>
      </w:r>
    </w:p>
    <w:p w14:paraId="0176BE7B">
      <w:pPr>
        <w:ind w:firstLine="562" w:firstLineChars="200"/>
      </w:pPr>
      <w:r>
        <w:rPr>
          <w:rFonts w:hint="eastAsia"/>
          <w:b/>
          <w:bCs/>
        </w:rPr>
        <w:t>政府审议</w:t>
      </w:r>
      <w:r>
        <w:rPr>
          <w:rFonts w:hint="eastAsia"/>
        </w:rPr>
        <w:t>：将修改完善后的划定方案提交政府常务会议或相关决策会议进行审议，经审议通过后正式确定禁烧区和限烧区范围。</w:t>
      </w:r>
    </w:p>
    <w:p w14:paraId="7315E60D">
      <w:pPr>
        <w:ind w:firstLine="562" w:firstLineChars="200"/>
      </w:pPr>
      <w:r>
        <w:rPr>
          <w:rFonts w:hint="eastAsia"/>
          <w:b/>
          <w:bCs/>
        </w:rPr>
        <w:t>发布通告</w:t>
      </w:r>
      <w:r>
        <w:rPr>
          <w:rFonts w:hint="eastAsia"/>
        </w:rPr>
        <w:t>：以政府名义发布关于划定禁烧区和限烧区的通告，向社会公布划定范围、禁烧要求、监管措施等内容，明确通告实施日期。</w:t>
      </w:r>
    </w:p>
    <w:p w14:paraId="668786BF">
      <w:pPr>
        <w:pStyle w:val="4"/>
        <w:rPr>
          <w:rFonts w:hint="default"/>
        </w:rPr>
      </w:pPr>
      <w:bookmarkStart w:id="40" w:name="_Toc26570"/>
      <w:r>
        <w:rPr>
          <w:rFonts w:hint="default"/>
        </w:rPr>
        <w:t>3.3.3定界技术说明</w:t>
      </w:r>
      <w:bookmarkEnd w:id="40"/>
    </w:p>
    <w:p w14:paraId="271DAC8E">
      <w:pPr>
        <w:ind w:firstLine="560" w:firstLineChars="200"/>
      </w:pPr>
      <w:r>
        <w:t>禁烧区与限烧区的定界需要综合运用多种技术手段，确保边界划分科学、准确、可操作，以下从技术原理、方法及工具等方面进行说明：</w:t>
      </w:r>
    </w:p>
    <w:p w14:paraId="15AA25E9">
      <w:pPr>
        <w:rPr>
          <w:b/>
          <w:bCs/>
        </w:rPr>
      </w:pPr>
      <w:r>
        <w:rPr>
          <w:b/>
          <w:bCs/>
        </w:rPr>
        <w:t>地理信息技术应用</w:t>
      </w:r>
    </w:p>
    <w:p w14:paraId="044B22E6">
      <w:pPr>
        <w:ind w:firstLine="560" w:firstLineChars="200"/>
      </w:pPr>
      <w:r>
        <w:t xml:space="preserve"> 数据采集与处理：利用卫星遥感影像、无人机航测数据和基础地理信息数据（如地形、土地利用现状图），结合全球定位系统（GPS）实地测量，获取高精度的区域地理信息 。例如，通过高分辨率卫星影像可以清晰识别人口密集区、交通干线、生态保护区等关键区域的边界。</w:t>
      </w:r>
    </w:p>
    <w:p w14:paraId="792E7F6A">
      <w:pPr>
        <w:ind w:firstLine="560" w:firstLineChars="200"/>
      </w:pPr>
      <w:r>
        <w:t>空间分析与划定：借助地理信息系统（GIS）的空间分析功能，根据禁烧区划定标准，通过缓冲区分析、叠加分析等操作，划定禁烧区与限烧区的初步范围。如在交通干线两侧按规定距离生成缓冲区，将其纳入禁烧区范围。</w:t>
      </w:r>
    </w:p>
    <w:p w14:paraId="58615A51">
      <w:pPr>
        <w:ind w:firstLine="560" w:firstLineChars="200"/>
      </w:pPr>
      <w:r>
        <w:t>成果输出与展示：利用GIS的制图功能，生成禁烧区与限烧区专题地图，标注详细的边界信息、区域范围和属性说明，为后续管理提供可视化依据。</w:t>
      </w:r>
    </w:p>
    <w:p w14:paraId="1032D8A1">
      <w:pPr>
        <w:rPr>
          <w:b/>
          <w:bCs/>
        </w:rPr>
      </w:pPr>
      <w:r>
        <w:rPr>
          <w:b/>
          <w:bCs/>
        </w:rPr>
        <w:t>定位与测量技术</w:t>
      </w:r>
    </w:p>
    <w:p w14:paraId="7BFE9C47">
      <w:pPr>
        <w:ind w:firstLine="560" w:firstLineChars="200"/>
      </w:pPr>
      <w:r>
        <w:t>GPS定位：在实地勘查过程中，工作人员使用GPS接收机对关键点位进行定位测量，记录经纬度坐标，精确确定禁烧区边界拐点，确保边界的准确性。</w:t>
      </w:r>
    </w:p>
    <w:p w14:paraId="75FB9E4C">
      <w:pPr>
        <w:ind w:firstLine="560" w:firstLineChars="200"/>
      </w:pPr>
      <w:r>
        <w:t>全站仪测量：对于地形复杂或边界模糊的区域，采用全站仪进行高精度测量，获取距离、角度等数据，通过计算和绘图确定边界位置。</w:t>
      </w:r>
    </w:p>
    <w:p w14:paraId="43F0CE6C">
      <w:pPr>
        <w:rPr>
          <w:b/>
          <w:bCs/>
        </w:rPr>
      </w:pPr>
      <w:r>
        <w:rPr>
          <w:b/>
          <w:bCs/>
        </w:rPr>
        <w:t>数据融合与动态更新</w:t>
      </w:r>
    </w:p>
    <w:p w14:paraId="4C176E83">
      <w:pPr>
        <w:ind w:firstLine="560" w:firstLineChars="200"/>
      </w:pPr>
      <w:r>
        <w:t>多源数据融合：将地理信息数据、遥感影像数据、社会经济数据（如人口分布、产业布局）等进行融合，综合考虑多方面因素，优化禁烧区与限烧区的定界方案，使边界划定更符合实际管理需求。</w:t>
      </w:r>
    </w:p>
    <w:p w14:paraId="011FB4A7">
      <w:pPr>
        <w:ind w:firstLine="560" w:firstLineChars="200"/>
      </w:pPr>
      <w:r>
        <w:t>动态更新机制：建立禁烧区与限烧区地理信息数据库，结合区域发展变化（如城镇扩张、交通建设、生态保护区调整），定期更新数据，确保边界的时效性和准确性。</w:t>
      </w:r>
    </w:p>
    <w:p w14:paraId="22BFB144">
      <w:pPr>
        <w:rPr>
          <w:b/>
          <w:bCs/>
        </w:rPr>
      </w:pPr>
      <w:r>
        <w:rPr>
          <w:b/>
          <w:bCs/>
        </w:rPr>
        <w:t>三维建模与模拟</w:t>
      </w:r>
    </w:p>
    <w:p w14:paraId="7D052B28">
      <w:pPr>
        <w:ind w:firstLine="560" w:firstLineChars="200"/>
      </w:pPr>
      <w:r>
        <w:t>三维可视化：通过构建区域三维地形模型，将禁烧区与限烧区的边界在三维空间中进行展示，直观呈现边界与地形、地物的关系，便于管理人员更好地理解和决策。</w:t>
      </w:r>
    </w:p>
    <w:p w14:paraId="2E858162">
      <w:pPr>
        <w:ind w:firstLine="560" w:firstLineChars="200"/>
      </w:pPr>
      <w:r>
        <w:t>扩散模拟：利用大气扩散模型，结合当地气象条件，模拟焚烧行为产生的污染物扩散范围，为禁烧区边界的优化提供科学依据，确保有效保护敏感区域的大气环境。</w:t>
      </w:r>
    </w:p>
    <w:p w14:paraId="4584EDC6">
      <w:pPr>
        <w:pStyle w:val="4"/>
        <w:rPr>
          <w:rFonts w:hint="default"/>
        </w:rPr>
      </w:pPr>
      <w:bookmarkStart w:id="41" w:name="_Toc25413"/>
      <w:r>
        <w:rPr>
          <w:rFonts w:hint="default"/>
        </w:rPr>
        <w:t>3.3.4具体方案及</w:t>
      </w:r>
      <w:r>
        <w:t>成</w:t>
      </w:r>
      <w:r>
        <w:rPr>
          <w:rFonts w:hint="default"/>
        </w:rPr>
        <w:t>果</w:t>
      </w:r>
      <w:bookmarkEnd w:id="41"/>
    </w:p>
    <w:p w14:paraId="31B9FD1F">
      <w:pPr>
        <w:ind w:firstLine="562" w:firstLineChars="200"/>
        <w:rPr>
          <w:rFonts w:asciiTheme="minorEastAsia" w:hAnsiTheme="minorEastAsia" w:cstheme="minorEastAsia"/>
          <w:szCs w:val="28"/>
        </w:rPr>
      </w:pPr>
      <w:r>
        <w:rPr>
          <w:rFonts w:hint="eastAsia" w:asciiTheme="minorEastAsia" w:hAnsiTheme="minorEastAsia" w:cstheme="minorEastAsia"/>
          <w:b/>
          <w:bCs/>
          <w:szCs w:val="28"/>
        </w:rPr>
        <w:t>1、要素选取</w:t>
      </w:r>
    </w:p>
    <w:p w14:paraId="77D79247">
      <w:pPr>
        <w:ind w:firstLine="560" w:firstLineChars="200"/>
        <w:rPr>
          <w:rFonts w:asciiTheme="minorEastAsia" w:hAnsiTheme="minorEastAsia" w:cstheme="minorEastAsia"/>
          <w:szCs w:val="28"/>
        </w:rPr>
      </w:pPr>
      <w:r>
        <w:rPr>
          <w:rFonts w:hint="eastAsia" w:asciiTheme="minorEastAsia" w:hAnsiTheme="minorEastAsia" w:cstheme="minorEastAsia"/>
          <w:szCs w:val="28"/>
        </w:rPr>
        <w:t xml:space="preserve">（1）县域建成区（开发边界）：从城乡规划、土地利用规划、国土空间规划、国土三调数据或卫星地图中划分出已建成区的区域。 </w:t>
      </w:r>
    </w:p>
    <w:p w14:paraId="6424BE1F">
      <w:pPr>
        <w:ind w:firstLine="560" w:firstLineChars="200"/>
        <w:rPr>
          <w:rFonts w:asciiTheme="minorEastAsia" w:hAnsiTheme="minorEastAsia" w:cstheme="minorEastAsia"/>
          <w:szCs w:val="28"/>
        </w:rPr>
      </w:pPr>
      <w:r>
        <w:rPr>
          <w:rFonts w:hint="eastAsia" w:asciiTheme="minorEastAsia" w:hAnsiTheme="minorEastAsia" w:cstheme="minorEastAsia"/>
          <w:szCs w:val="28"/>
        </w:rPr>
        <w:t>（2）高速公路：邵阳县高速公路分布情况见表 3-1。</w:t>
      </w:r>
    </w:p>
    <w:p w14:paraId="5A94D418">
      <w:pPr>
        <w:widowControl/>
        <w:ind w:firstLine="1968" w:firstLineChars="700"/>
        <w:jc w:val="left"/>
        <w:rPr>
          <w:rFonts w:asciiTheme="minorEastAsia" w:hAnsiTheme="minorEastAsia" w:cstheme="minorEastAsia"/>
          <w:szCs w:val="28"/>
        </w:rPr>
      </w:pPr>
      <w:r>
        <w:rPr>
          <w:rFonts w:hint="eastAsia" w:asciiTheme="minorEastAsia" w:hAnsiTheme="minorEastAsia" w:cstheme="minorEastAsia"/>
          <w:b/>
          <w:bCs/>
          <w:color w:val="000000"/>
          <w:kern w:val="0"/>
          <w:szCs w:val="28"/>
        </w:rPr>
        <w:t>表 3-1 邵阳县高速公路分布情况汇总表</w:t>
      </w:r>
    </w:p>
    <w:tbl>
      <w:tblPr>
        <w:tblStyle w:val="18"/>
        <w:tblW w:w="8083" w:type="dxa"/>
        <w:tblInd w:w="151" w:type="dxa"/>
        <w:tblLayout w:type="fixed"/>
        <w:tblCellMar>
          <w:top w:w="0" w:type="dxa"/>
          <w:left w:w="108" w:type="dxa"/>
          <w:bottom w:w="0" w:type="dxa"/>
          <w:right w:w="108" w:type="dxa"/>
        </w:tblCellMar>
      </w:tblPr>
      <w:tblGrid>
        <w:gridCol w:w="934"/>
        <w:gridCol w:w="3515"/>
        <w:gridCol w:w="2125"/>
        <w:gridCol w:w="1509"/>
      </w:tblGrid>
      <w:tr w14:paraId="743C907A">
        <w:tblPrEx>
          <w:tblCellMar>
            <w:top w:w="0" w:type="dxa"/>
            <w:left w:w="108" w:type="dxa"/>
            <w:bottom w:w="0" w:type="dxa"/>
            <w:right w:w="108" w:type="dxa"/>
          </w:tblCellMar>
        </w:tblPrEx>
        <w:trPr>
          <w:trHeight w:val="312"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96D8D">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序号</w:t>
            </w:r>
          </w:p>
        </w:tc>
        <w:tc>
          <w:tcPr>
            <w:tcW w:w="3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3EE01">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公路名称</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9444C">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公路简称</w:t>
            </w:r>
          </w:p>
        </w:tc>
        <w:tc>
          <w:tcPr>
            <w:tcW w:w="1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23616">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道路编号</w:t>
            </w:r>
          </w:p>
        </w:tc>
      </w:tr>
      <w:tr w14:paraId="03F56538">
        <w:tblPrEx>
          <w:tblCellMar>
            <w:top w:w="0" w:type="dxa"/>
            <w:left w:w="108" w:type="dxa"/>
            <w:bottom w:w="0" w:type="dxa"/>
            <w:right w:w="108" w:type="dxa"/>
          </w:tblCellMar>
        </w:tblPrEx>
        <w:trPr>
          <w:trHeight w:val="312"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16EF3">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1</w:t>
            </w:r>
          </w:p>
        </w:tc>
        <w:tc>
          <w:tcPr>
            <w:tcW w:w="3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E6BA">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上海－昆明高速公路</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CF3B">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沪昆高速</w:t>
            </w:r>
          </w:p>
        </w:tc>
        <w:tc>
          <w:tcPr>
            <w:tcW w:w="1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DD954">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G60</w:t>
            </w:r>
          </w:p>
        </w:tc>
      </w:tr>
      <w:tr w14:paraId="3E2ADE10">
        <w:tblPrEx>
          <w:tblCellMar>
            <w:top w:w="0" w:type="dxa"/>
            <w:left w:w="108" w:type="dxa"/>
            <w:bottom w:w="0" w:type="dxa"/>
            <w:right w:w="108" w:type="dxa"/>
          </w:tblCellMar>
        </w:tblPrEx>
        <w:trPr>
          <w:trHeight w:val="312"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4A3CD">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2</w:t>
            </w:r>
          </w:p>
        </w:tc>
        <w:tc>
          <w:tcPr>
            <w:tcW w:w="3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F4FC">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二连浩特-广州高速公路</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1F54B">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二广高速</w:t>
            </w:r>
          </w:p>
        </w:tc>
        <w:tc>
          <w:tcPr>
            <w:tcW w:w="1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E8A91">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G55</w:t>
            </w:r>
          </w:p>
        </w:tc>
      </w:tr>
      <w:tr w14:paraId="2634C05C">
        <w:tblPrEx>
          <w:tblCellMar>
            <w:top w:w="0" w:type="dxa"/>
            <w:left w:w="108" w:type="dxa"/>
            <w:bottom w:w="0" w:type="dxa"/>
            <w:right w:w="108" w:type="dxa"/>
          </w:tblCellMar>
        </w:tblPrEx>
        <w:trPr>
          <w:trHeight w:val="312" w:hRule="atLeast"/>
        </w:trPr>
        <w:tc>
          <w:tcPr>
            <w:tcW w:w="9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F5DE2">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3</w:t>
            </w:r>
          </w:p>
        </w:tc>
        <w:tc>
          <w:tcPr>
            <w:tcW w:w="35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480FC">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白仓-新宁高速公路</w:t>
            </w:r>
          </w:p>
        </w:tc>
        <w:tc>
          <w:tcPr>
            <w:tcW w:w="2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9BCD1">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白新高速</w:t>
            </w:r>
          </w:p>
        </w:tc>
        <w:tc>
          <w:tcPr>
            <w:tcW w:w="15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8B20F">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S85</w:t>
            </w:r>
          </w:p>
        </w:tc>
      </w:tr>
    </w:tbl>
    <w:p w14:paraId="0A355190">
      <w:pPr>
        <w:ind w:firstLine="560" w:firstLineChars="200"/>
        <w:rPr>
          <w:rFonts w:asciiTheme="minorEastAsia" w:hAnsiTheme="minorEastAsia" w:cstheme="minorEastAsia"/>
          <w:szCs w:val="28"/>
        </w:rPr>
      </w:pPr>
      <w:r>
        <w:rPr>
          <w:rFonts w:hint="eastAsia" w:asciiTheme="minorEastAsia" w:hAnsiTheme="minorEastAsia" w:cstheme="minorEastAsia"/>
          <w:szCs w:val="28"/>
        </w:rPr>
        <w:t xml:space="preserve">（3）国、省干道：邵阳县境内国、省干道分布情况见表 3-2。 </w:t>
      </w:r>
    </w:p>
    <w:p w14:paraId="6CA62DDD">
      <w:pPr>
        <w:widowControl/>
        <w:ind w:firstLine="1968" w:firstLineChars="700"/>
        <w:jc w:val="left"/>
        <w:rPr>
          <w:rFonts w:asciiTheme="minorEastAsia" w:hAnsiTheme="minorEastAsia" w:cstheme="minorEastAsia"/>
          <w:b/>
          <w:bCs/>
          <w:color w:val="000000"/>
          <w:kern w:val="0"/>
          <w:szCs w:val="28"/>
        </w:rPr>
      </w:pPr>
      <w:r>
        <w:rPr>
          <w:rFonts w:hint="eastAsia" w:asciiTheme="minorEastAsia" w:hAnsiTheme="minorEastAsia" w:cstheme="minorEastAsia"/>
          <w:b/>
          <w:bCs/>
          <w:color w:val="000000"/>
          <w:kern w:val="0"/>
          <w:szCs w:val="28"/>
        </w:rPr>
        <w:t>表 3-2 邵阳县国、省干道分布情况汇总表</w:t>
      </w:r>
    </w:p>
    <w:tbl>
      <w:tblPr>
        <w:tblStyle w:val="18"/>
        <w:tblW w:w="8333" w:type="dxa"/>
        <w:tblInd w:w="96" w:type="dxa"/>
        <w:tblLayout w:type="fixed"/>
        <w:tblCellMar>
          <w:top w:w="0" w:type="dxa"/>
          <w:left w:w="108" w:type="dxa"/>
          <w:bottom w:w="0" w:type="dxa"/>
          <w:right w:w="108" w:type="dxa"/>
        </w:tblCellMar>
      </w:tblPr>
      <w:tblGrid>
        <w:gridCol w:w="1080"/>
        <w:gridCol w:w="3948"/>
        <w:gridCol w:w="1559"/>
        <w:gridCol w:w="1746"/>
      </w:tblGrid>
      <w:tr w14:paraId="40C7ED8E">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7078">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序号</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A49C3">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公路名称</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F3A68">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公路简称</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9EA3D">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道路编号</w:t>
            </w:r>
          </w:p>
        </w:tc>
      </w:tr>
      <w:tr w14:paraId="655F428D">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4949B">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1</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FC4AE">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上海-云南瑞丽公路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DE305">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沪瑞线</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5CA7">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G320</w:t>
            </w:r>
          </w:p>
        </w:tc>
      </w:tr>
      <w:tr w14:paraId="40BEFB53">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F68F5">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2</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3C57">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乌兰浩特市－广东徐闻公路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71504">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乌海线</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8C6FF">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G207</w:t>
            </w:r>
          </w:p>
        </w:tc>
      </w:tr>
      <w:tr w14:paraId="2DE2B781">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FF118">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3</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D24C3">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福建省莆田市－四川省西昌市公路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D5D04">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国道356线</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8059C">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G356</w:t>
            </w:r>
          </w:p>
        </w:tc>
      </w:tr>
      <w:tr w14:paraId="79555036">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305A2">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4</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2C810">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新邵县－邵阳县公路</w:t>
            </w: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97FA2">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梅芝线</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9CC54">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G</w:t>
            </w:r>
            <w:r>
              <w:rPr>
                <w:rFonts w:hint="eastAsia" w:asciiTheme="minorEastAsia" w:hAnsiTheme="minorEastAsia" w:cstheme="minorEastAsia"/>
                <w:color w:val="000000"/>
                <w:kern w:val="0"/>
                <w:sz w:val="21"/>
                <w:szCs w:val="21"/>
                <w:lang w:val="en-US" w:eastAsia="zh-CN"/>
              </w:rPr>
              <w:t>23</w:t>
            </w:r>
            <w:r>
              <w:rPr>
                <w:rFonts w:hint="eastAsia" w:asciiTheme="minorEastAsia" w:hAnsiTheme="minorEastAsia" w:cstheme="minorEastAsia"/>
                <w:color w:val="000000"/>
                <w:kern w:val="0"/>
                <w:sz w:val="21"/>
                <w:szCs w:val="21"/>
              </w:rPr>
              <w:t>6</w:t>
            </w:r>
          </w:p>
        </w:tc>
      </w:tr>
      <w:tr w14:paraId="79122141">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58EC">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5</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20BE1">
            <w:pPr>
              <w:widowControl/>
              <w:jc w:val="center"/>
              <w:textAlignment w:val="center"/>
              <w:rPr>
                <w:rFonts w:asciiTheme="minorEastAsia" w:hAnsiTheme="minorEastAsia" w:cstheme="minorEastAsia"/>
                <w:color w:val="000000"/>
                <w:kern w:val="0"/>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0B1F1">
            <w:pPr>
              <w:widowControl/>
              <w:jc w:val="center"/>
              <w:textAlignment w:val="center"/>
              <w:rPr>
                <w:rFonts w:asciiTheme="minorEastAsia" w:hAnsiTheme="minorEastAsia" w:cstheme="minorEastAsia"/>
                <w:color w:val="000000"/>
                <w:kern w:val="0"/>
                <w:sz w:val="21"/>
                <w:szCs w:val="21"/>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8CB03">
            <w:pPr>
              <w:widowControl/>
              <w:jc w:val="center"/>
              <w:textAlignment w:val="center"/>
              <w:rPr>
                <w:rFonts w:hint="default"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color w:val="000000"/>
                <w:kern w:val="0"/>
                <w:sz w:val="21"/>
                <w:szCs w:val="21"/>
                <w:lang w:val="en-US" w:eastAsia="zh-CN"/>
              </w:rPr>
              <w:t>S240</w:t>
            </w:r>
          </w:p>
        </w:tc>
      </w:tr>
      <w:tr w14:paraId="7CAB87EF">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6A952">
            <w:pPr>
              <w:widowControl/>
              <w:jc w:val="center"/>
              <w:textAlignment w:val="center"/>
              <w:rPr>
                <w:rFonts w:asciiTheme="minorEastAsia" w:hAnsiTheme="minorEastAsia" w:cstheme="minorEastAsia"/>
                <w:color w:val="000000"/>
                <w:kern w:val="0"/>
                <w:sz w:val="21"/>
                <w:szCs w:val="21"/>
              </w:rPr>
            </w:pPr>
            <w:r>
              <w:rPr>
                <w:rFonts w:hint="eastAsia" w:asciiTheme="minorEastAsia" w:hAnsiTheme="minorEastAsia" w:cstheme="minorEastAsia"/>
                <w:color w:val="000000"/>
                <w:kern w:val="0"/>
                <w:sz w:val="21"/>
                <w:szCs w:val="21"/>
              </w:rPr>
              <w:t>6</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1322F">
            <w:pPr>
              <w:widowControl/>
              <w:jc w:val="center"/>
              <w:textAlignment w:val="center"/>
              <w:rPr>
                <w:rFonts w:asciiTheme="minorEastAsia" w:hAnsiTheme="minorEastAsia" w:cstheme="minorEastAsia"/>
                <w:color w:val="000000"/>
                <w:kern w:val="0"/>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F5AD">
            <w:pPr>
              <w:widowControl/>
              <w:jc w:val="center"/>
              <w:textAlignment w:val="center"/>
              <w:rPr>
                <w:rFonts w:asciiTheme="minorEastAsia" w:hAnsiTheme="minorEastAsia" w:cstheme="minorEastAsia"/>
                <w:color w:val="000000"/>
                <w:kern w:val="0"/>
                <w:sz w:val="21"/>
                <w:szCs w:val="21"/>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836FE">
            <w:pPr>
              <w:widowControl/>
              <w:jc w:val="center"/>
              <w:textAlignment w:val="center"/>
              <w:rPr>
                <w:rFonts w:hint="default"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color w:val="000000"/>
                <w:kern w:val="0"/>
                <w:sz w:val="21"/>
                <w:szCs w:val="21"/>
              </w:rPr>
              <w:t>S</w:t>
            </w:r>
            <w:r>
              <w:rPr>
                <w:rFonts w:hint="eastAsia" w:asciiTheme="minorEastAsia" w:hAnsiTheme="minorEastAsia" w:cstheme="minorEastAsia"/>
                <w:color w:val="000000"/>
                <w:kern w:val="0"/>
                <w:sz w:val="21"/>
                <w:szCs w:val="21"/>
                <w:lang w:val="en-US" w:eastAsia="zh-CN"/>
              </w:rPr>
              <w:t>242</w:t>
            </w:r>
          </w:p>
        </w:tc>
      </w:tr>
      <w:tr w14:paraId="29E971C5">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1AE5">
            <w:pPr>
              <w:widowControl/>
              <w:jc w:val="center"/>
              <w:textAlignment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color w:val="000000"/>
                <w:kern w:val="0"/>
                <w:sz w:val="21"/>
                <w:szCs w:val="21"/>
                <w:lang w:val="en-US" w:eastAsia="zh-CN"/>
              </w:rPr>
              <w:t>7</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937F8">
            <w:pPr>
              <w:widowControl/>
              <w:jc w:val="center"/>
              <w:textAlignment w:val="center"/>
              <w:rPr>
                <w:rFonts w:asciiTheme="minorEastAsia" w:hAnsiTheme="minorEastAsia" w:cstheme="minorEastAsia"/>
                <w:color w:val="000000"/>
                <w:kern w:val="0"/>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C57B5">
            <w:pPr>
              <w:widowControl/>
              <w:jc w:val="center"/>
              <w:textAlignment w:val="center"/>
              <w:rPr>
                <w:rFonts w:asciiTheme="minorEastAsia" w:hAnsiTheme="minorEastAsia" w:cstheme="minorEastAsia"/>
                <w:color w:val="000000"/>
                <w:kern w:val="0"/>
                <w:sz w:val="21"/>
                <w:szCs w:val="21"/>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F035E">
            <w:pPr>
              <w:widowControl/>
              <w:jc w:val="center"/>
              <w:textAlignment w:val="center"/>
              <w:rPr>
                <w:rFonts w:hint="default" w:asciiTheme="minorEastAsia" w:hAnsiTheme="minorEastAsia" w:cstheme="minorEastAsia"/>
                <w:color w:val="000000"/>
                <w:kern w:val="0"/>
                <w:sz w:val="21"/>
                <w:szCs w:val="21"/>
                <w:lang w:val="en-US"/>
              </w:rPr>
            </w:pPr>
            <w:r>
              <w:rPr>
                <w:rFonts w:hint="eastAsia" w:asciiTheme="minorEastAsia" w:hAnsiTheme="minorEastAsia" w:cstheme="minorEastAsia"/>
                <w:color w:val="000000"/>
                <w:kern w:val="0"/>
                <w:sz w:val="21"/>
                <w:szCs w:val="21"/>
              </w:rPr>
              <w:t>S</w:t>
            </w:r>
            <w:r>
              <w:rPr>
                <w:rFonts w:hint="eastAsia" w:asciiTheme="minorEastAsia" w:hAnsiTheme="minorEastAsia" w:cstheme="minorEastAsia"/>
                <w:color w:val="000000"/>
                <w:kern w:val="0"/>
                <w:sz w:val="21"/>
                <w:szCs w:val="21"/>
                <w:lang w:val="en-US" w:eastAsia="zh-CN"/>
              </w:rPr>
              <w:t>336</w:t>
            </w:r>
          </w:p>
        </w:tc>
      </w:tr>
      <w:tr w14:paraId="096258BA">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F99FF">
            <w:pPr>
              <w:widowControl/>
              <w:jc w:val="center"/>
              <w:textAlignment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color w:val="000000"/>
                <w:kern w:val="0"/>
                <w:sz w:val="21"/>
                <w:szCs w:val="21"/>
                <w:lang w:val="en-US" w:eastAsia="zh-CN"/>
              </w:rPr>
              <w:t>8</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CE90">
            <w:pPr>
              <w:widowControl/>
              <w:jc w:val="center"/>
              <w:textAlignment w:val="center"/>
              <w:rPr>
                <w:rFonts w:asciiTheme="minorEastAsia" w:hAnsiTheme="minorEastAsia" w:cstheme="minorEastAsia"/>
                <w:color w:val="000000"/>
                <w:kern w:val="0"/>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FFE37">
            <w:pPr>
              <w:widowControl/>
              <w:jc w:val="center"/>
              <w:textAlignment w:val="center"/>
              <w:rPr>
                <w:rFonts w:asciiTheme="minorEastAsia" w:hAnsiTheme="minorEastAsia" w:cstheme="minorEastAsia"/>
                <w:color w:val="000000"/>
                <w:kern w:val="0"/>
                <w:sz w:val="21"/>
                <w:szCs w:val="21"/>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A29AE">
            <w:pPr>
              <w:widowControl/>
              <w:jc w:val="center"/>
              <w:textAlignment w:val="center"/>
              <w:rPr>
                <w:rFonts w:hint="default" w:asciiTheme="minorEastAsia" w:hAnsiTheme="minorEastAsia" w:cstheme="minorEastAsia"/>
                <w:color w:val="000000"/>
                <w:kern w:val="0"/>
                <w:sz w:val="21"/>
                <w:szCs w:val="21"/>
                <w:lang w:val="en-US"/>
              </w:rPr>
            </w:pPr>
            <w:r>
              <w:rPr>
                <w:rFonts w:hint="eastAsia" w:asciiTheme="minorEastAsia" w:hAnsiTheme="minorEastAsia" w:cstheme="minorEastAsia"/>
                <w:color w:val="000000"/>
                <w:kern w:val="0"/>
                <w:sz w:val="21"/>
                <w:szCs w:val="21"/>
              </w:rPr>
              <w:t>S</w:t>
            </w:r>
            <w:r>
              <w:rPr>
                <w:rFonts w:hint="eastAsia" w:asciiTheme="minorEastAsia" w:hAnsiTheme="minorEastAsia" w:cstheme="minorEastAsia"/>
                <w:color w:val="000000"/>
                <w:kern w:val="0"/>
                <w:sz w:val="21"/>
                <w:szCs w:val="21"/>
                <w:lang w:val="en-US" w:eastAsia="zh-CN"/>
              </w:rPr>
              <w:t>550</w:t>
            </w:r>
          </w:p>
        </w:tc>
      </w:tr>
      <w:tr w14:paraId="4E5D10AB">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5D0EA">
            <w:pPr>
              <w:widowControl/>
              <w:jc w:val="center"/>
              <w:textAlignment w:val="center"/>
              <w:rPr>
                <w:rFonts w:hint="eastAsia"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color w:val="000000"/>
                <w:kern w:val="0"/>
                <w:sz w:val="21"/>
                <w:szCs w:val="21"/>
                <w:lang w:val="en-US" w:eastAsia="zh-CN"/>
              </w:rPr>
              <w:t>9</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36FC3">
            <w:pPr>
              <w:widowControl/>
              <w:jc w:val="center"/>
              <w:textAlignment w:val="center"/>
              <w:rPr>
                <w:rFonts w:asciiTheme="minorEastAsia" w:hAnsiTheme="minorEastAsia" w:cstheme="minorEastAsia"/>
                <w:color w:val="000000"/>
                <w:kern w:val="0"/>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EE63C">
            <w:pPr>
              <w:widowControl/>
              <w:jc w:val="center"/>
              <w:textAlignment w:val="center"/>
              <w:rPr>
                <w:rFonts w:asciiTheme="minorEastAsia" w:hAnsiTheme="minorEastAsia" w:cstheme="minorEastAsia"/>
                <w:color w:val="000000"/>
                <w:kern w:val="0"/>
                <w:sz w:val="21"/>
                <w:szCs w:val="21"/>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5DBDA">
            <w:pPr>
              <w:widowControl/>
              <w:jc w:val="center"/>
              <w:textAlignment w:val="center"/>
              <w:rPr>
                <w:rFonts w:hint="default" w:asciiTheme="minorEastAsia" w:hAnsiTheme="minorEastAsia" w:cstheme="minorEastAsia"/>
                <w:color w:val="000000"/>
                <w:kern w:val="0"/>
                <w:sz w:val="21"/>
                <w:szCs w:val="21"/>
                <w:lang w:val="en-US"/>
              </w:rPr>
            </w:pPr>
            <w:r>
              <w:rPr>
                <w:rFonts w:hint="eastAsia" w:asciiTheme="minorEastAsia" w:hAnsiTheme="minorEastAsia" w:cstheme="minorEastAsia"/>
                <w:color w:val="000000"/>
                <w:kern w:val="0"/>
                <w:sz w:val="21"/>
                <w:szCs w:val="21"/>
              </w:rPr>
              <w:t>S</w:t>
            </w:r>
            <w:r>
              <w:rPr>
                <w:rFonts w:hint="eastAsia" w:asciiTheme="minorEastAsia" w:hAnsiTheme="minorEastAsia" w:cstheme="minorEastAsia"/>
                <w:color w:val="000000"/>
                <w:kern w:val="0"/>
                <w:sz w:val="21"/>
                <w:szCs w:val="21"/>
                <w:lang w:val="en-US" w:eastAsia="zh-CN"/>
              </w:rPr>
              <w:t>552</w:t>
            </w:r>
          </w:p>
        </w:tc>
      </w:tr>
      <w:tr w14:paraId="3EC99C9D">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8F1AA">
            <w:pPr>
              <w:widowControl/>
              <w:jc w:val="center"/>
              <w:textAlignment w:val="center"/>
              <w:rPr>
                <w:rFonts w:hint="default" w:asciiTheme="minorEastAsia" w:hAnsiTheme="minorEastAsia" w:eastAsiaTheme="minorEastAsia" w:cstheme="minorEastAsia"/>
                <w:color w:val="000000"/>
                <w:kern w:val="0"/>
                <w:sz w:val="21"/>
                <w:szCs w:val="21"/>
                <w:lang w:val="en-US" w:eastAsia="zh-CN"/>
              </w:rPr>
            </w:pPr>
            <w:r>
              <w:rPr>
                <w:rFonts w:hint="eastAsia" w:asciiTheme="minorEastAsia" w:hAnsiTheme="minorEastAsia" w:cstheme="minorEastAsia"/>
                <w:color w:val="000000"/>
                <w:kern w:val="0"/>
                <w:sz w:val="21"/>
                <w:szCs w:val="21"/>
                <w:lang w:val="en-US" w:eastAsia="zh-CN"/>
              </w:rPr>
              <w:t>10</w:t>
            </w:r>
          </w:p>
        </w:tc>
        <w:tc>
          <w:tcPr>
            <w:tcW w:w="39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BABCF">
            <w:pPr>
              <w:widowControl/>
              <w:jc w:val="center"/>
              <w:textAlignment w:val="center"/>
              <w:rPr>
                <w:rFonts w:asciiTheme="minorEastAsia" w:hAnsiTheme="minorEastAsia" w:cstheme="minorEastAsia"/>
                <w:color w:val="000000"/>
                <w:kern w:val="0"/>
                <w:sz w:val="21"/>
                <w:szCs w:val="21"/>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D99EB">
            <w:pPr>
              <w:widowControl/>
              <w:jc w:val="center"/>
              <w:textAlignment w:val="center"/>
              <w:rPr>
                <w:rFonts w:asciiTheme="minorEastAsia" w:hAnsiTheme="minorEastAsia" w:cstheme="minorEastAsia"/>
                <w:color w:val="000000"/>
                <w:kern w:val="0"/>
                <w:sz w:val="21"/>
                <w:szCs w:val="21"/>
              </w:rPr>
            </w:pP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8070F">
            <w:pPr>
              <w:widowControl/>
              <w:jc w:val="center"/>
              <w:textAlignment w:val="center"/>
              <w:rPr>
                <w:rFonts w:hint="default" w:asciiTheme="minorEastAsia" w:hAnsiTheme="minorEastAsia" w:cstheme="minorEastAsia"/>
                <w:color w:val="000000"/>
                <w:kern w:val="0"/>
                <w:sz w:val="21"/>
                <w:szCs w:val="21"/>
                <w:lang w:val="en-US"/>
              </w:rPr>
            </w:pPr>
            <w:r>
              <w:rPr>
                <w:rFonts w:hint="eastAsia" w:asciiTheme="minorEastAsia" w:hAnsiTheme="minorEastAsia" w:cstheme="minorEastAsia"/>
                <w:color w:val="000000"/>
                <w:kern w:val="0"/>
                <w:sz w:val="21"/>
                <w:szCs w:val="21"/>
              </w:rPr>
              <w:t>S</w:t>
            </w:r>
            <w:r>
              <w:rPr>
                <w:rFonts w:hint="eastAsia" w:asciiTheme="minorEastAsia" w:hAnsiTheme="minorEastAsia" w:cstheme="minorEastAsia"/>
                <w:color w:val="000000"/>
                <w:kern w:val="0"/>
                <w:sz w:val="21"/>
                <w:szCs w:val="21"/>
                <w:lang w:val="en-US" w:eastAsia="zh-CN"/>
              </w:rPr>
              <w:t>223</w:t>
            </w:r>
          </w:p>
        </w:tc>
      </w:tr>
    </w:tbl>
    <w:p w14:paraId="65370012">
      <w:pPr>
        <w:numPr>
          <w:ilvl w:val="0"/>
          <w:numId w:val="2"/>
        </w:numPr>
        <w:ind w:firstLine="560" w:firstLineChars="200"/>
        <w:jc w:val="center"/>
        <w:rPr>
          <w:rFonts w:asciiTheme="minorEastAsia" w:hAnsiTheme="minorEastAsia" w:cstheme="minorEastAsia"/>
          <w:szCs w:val="28"/>
        </w:rPr>
      </w:pPr>
      <w:r>
        <w:rPr>
          <w:rFonts w:hint="eastAsia" w:asciiTheme="minorEastAsia" w:hAnsiTheme="minorEastAsia" w:cstheme="minorEastAsia"/>
          <w:szCs w:val="28"/>
        </w:rPr>
        <w:t>铁路：邵阳县境内铁路分布情况见表 3-3。</w:t>
      </w:r>
    </w:p>
    <w:p w14:paraId="63F1B9B8">
      <w:pPr>
        <w:widowControl/>
        <w:jc w:val="center"/>
        <w:rPr>
          <w:rFonts w:asciiTheme="minorEastAsia" w:hAnsiTheme="minorEastAsia" w:cstheme="minorEastAsia"/>
          <w:szCs w:val="28"/>
        </w:rPr>
      </w:pPr>
      <w:r>
        <w:rPr>
          <w:rFonts w:hint="eastAsia" w:asciiTheme="minorEastAsia" w:hAnsiTheme="minorEastAsia" w:cstheme="minorEastAsia"/>
          <w:b/>
          <w:bCs/>
          <w:color w:val="000000"/>
          <w:kern w:val="0"/>
          <w:szCs w:val="28"/>
        </w:rPr>
        <w:t>表 3-3 邵阳县铁路分布情况汇总表</w:t>
      </w:r>
    </w:p>
    <w:tbl>
      <w:tblPr>
        <w:tblStyle w:val="18"/>
        <w:tblW w:w="8460" w:type="dxa"/>
        <w:tblInd w:w="96" w:type="dxa"/>
        <w:tblLayout w:type="fixed"/>
        <w:tblCellMar>
          <w:top w:w="0" w:type="dxa"/>
          <w:left w:w="108" w:type="dxa"/>
          <w:bottom w:w="0" w:type="dxa"/>
          <w:right w:w="108" w:type="dxa"/>
        </w:tblCellMar>
      </w:tblPr>
      <w:tblGrid>
        <w:gridCol w:w="1080"/>
        <w:gridCol w:w="3219"/>
        <w:gridCol w:w="1495"/>
        <w:gridCol w:w="1586"/>
        <w:gridCol w:w="1080"/>
      </w:tblGrid>
      <w:tr w14:paraId="5C54F126">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E1DC1">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序号</w:t>
            </w:r>
          </w:p>
        </w:tc>
        <w:tc>
          <w:tcPr>
            <w:tcW w:w="3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D70E">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铁路名称</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327E">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类型</w:t>
            </w: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D72AC">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起点</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5A919">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终点</w:t>
            </w:r>
          </w:p>
        </w:tc>
      </w:tr>
      <w:tr w14:paraId="0B484007">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62A0">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1</w:t>
            </w:r>
          </w:p>
        </w:tc>
        <w:tc>
          <w:tcPr>
            <w:tcW w:w="3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C952A">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怀邵衡高速铁路</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EC997">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高速</w:t>
            </w: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E2B03">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怀化</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1FEBE">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衡阳</w:t>
            </w:r>
          </w:p>
        </w:tc>
      </w:tr>
      <w:tr w14:paraId="392EBE08">
        <w:tblPrEx>
          <w:tblCellMar>
            <w:top w:w="0" w:type="dxa"/>
            <w:left w:w="108" w:type="dxa"/>
            <w:bottom w:w="0" w:type="dxa"/>
            <w:right w:w="108" w:type="dxa"/>
          </w:tblCellMar>
        </w:tblPrEx>
        <w:trPr>
          <w:trHeight w:val="3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F7EDD">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2</w:t>
            </w:r>
          </w:p>
        </w:tc>
        <w:tc>
          <w:tcPr>
            <w:tcW w:w="32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F73E">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洛湛铁路</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86F52">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普铁</w:t>
            </w:r>
          </w:p>
        </w:tc>
        <w:tc>
          <w:tcPr>
            <w:tcW w:w="1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92AB1">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洛阳</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25D34">
            <w:pPr>
              <w:widowControl/>
              <w:jc w:val="center"/>
              <w:textAlignment w:val="center"/>
              <w:rPr>
                <w:rFonts w:asciiTheme="minorEastAsia" w:hAnsiTheme="minorEastAsia" w:cstheme="minorEastAsia"/>
                <w:color w:val="000000"/>
                <w:sz w:val="21"/>
                <w:szCs w:val="21"/>
              </w:rPr>
            </w:pPr>
            <w:r>
              <w:rPr>
                <w:rFonts w:hint="eastAsia" w:asciiTheme="minorEastAsia" w:hAnsiTheme="minorEastAsia" w:cstheme="minorEastAsia"/>
                <w:color w:val="000000"/>
                <w:kern w:val="0"/>
                <w:sz w:val="21"/>
                <w:szCs w:val="21"/>
              </w:rPr>
              <w:t>湛江</w:t>
            </w:r>
          </w:p>
        </w:tc>
      </w:tr>
    </w:tbl>
    <w:p w14:paraId="4DB8D4EF">
      <w:pPr>
        <w:widowControl/>
        <w:ind w:firstLine="560" w:firstLineChars="200"/>
        <w:jc w:val="left"/>
        <w:rPr>
          <w:rFonts w:asciiTheme="minorEastAsia" w:hAnsiTheme="minorEastAsia" w:cstheme="minorEastAsia"/>
          <w:szCs w:val="28"/>
        </w:rPr>
      </w:pPr>
      <w:r>
        <w:rPr>
          <w:rFonts w:hint="eastAsia" w:asciiTheme="minorEastAsia" w:hAnsiTheme="minorEastAsia" w:cstheme="minorEastAsia"/>
          <w:szCs w:val="28"/>
        </w:rPr>
        <w:t>（5）机场：无。</w:t>
      </w:r>
    </w:p>
    <w:p w14:paraId="3176036D">
      <w:pPr>
        <w:widowControl/>
        <w:ind w:firstLine="560" w:firstLineChars="200"/>
        <w:jc w:val="left"/>
        <w:rPr>
          <w:rFonts w:asciiTheme="minorEastAsia" w:hAnsiTheme="minorEastAsia" w:cstheme="minorEastAsia"/>
          <w:szCs w:val="28"/>
        </w:rPr>
      </w:pPr>
      <w:r>
        <w:rPr>
          <w:rFonts w:hint="eastAsia" w:asciiTheme="minorEastAsia" w:hAnsiTheme="minorEastAsia" w:cstheme="minorEastAsia"/>
          <w:szCs w:val="28"/>
        </w:rPr>
        <w:t>（6）自然保护区：湖南河伯岭省级森林公园、湖南天子湖国家湿地公园、湖南邵阳宝庆省级森林公园</w:t>
      </w:r>
      <w:r>
        <w:rPr>
          <w:rFonts w:hint="eastAsia" w:asciiTheme="minorEastAsia" w:hAnsiTheme="minorEastAsia" w:cstheme="minorEastAsia"/>
          <w:szCs w:val="28"/>
          <w:lang w:eastAsia="zh-CN"/>
        </w:rPr>
        <w:t>、</w:t>
      </w:r>
      <w:r>
        <w:rPr>
          <w:rFonts w:hint="eastAsia" w:asciiTheme="minorEastAsia" w:hAnsiTheme="minorEastAsia" w:cstheme="minorEastAsia"/>
          <w:szCs w:val="28"/>
        </w:rPr>
        <w:t>塘田战时讲学院。</w:t>
      </w:r>
    </w:p>
    <w:p w14:paraId="4B042EA6">
      <w:pPr>
        <w:ind w:firstLine="562" w:firstLineChars="200"/>
        <w:rPr>
          <w:rFonts w:asciiTheme="minorEastAsia" w:hAnsiTheme="minorEastAsia" w:cstheme="minorEastAsia"/>
          <w:szCs w:val="28"/>
        </w:rPr>
      </w:pPr>
      <w:r>
        <w:rPr>
          <w:rFonts w:hint="eastAsia" w:asciiTheme="minorEastAsia" w:hAnsiTheme="minorEastAsia" w:cstheme="minorEastAsia"/>
          <w:b/>
          <w:bCs/>
          <w:szCs w:val="28"/>
        </w:rPr>
        <w:t xml:space="preserve">2、划定过程 </w:t>
      </w:r>
    </w:p>
    <w:p w14:paraId="5AD84C7E">
      <w:pPr>
        <w:ind w:firstLine="560" w:firstLineChars="200"/>
        <w:rPr>
          <w:rFonts w:asciiTheme="minorEastAsia" w:hAnsiTheme="minorEastAsia" w:cstheme="minorEastAsia"/>
          <w:szCs w:val="28"/>
        </w:rPr>
      </w:pPr>
      <w:r>
        <w:rPr>
          <w:rFonts w:hint="eastAsia" w:asciiTheme="minorEastAsia" w:hAnsiTheme="minorEastAsia" w:cstheme="minorEastAsia"/>
          <w:szCs w:val="28"/>
        </w:rPr>
        <w:t>（1）邵阳县县城建成区及其边缘外延5</w:t>
      </w:r>
      <w:r>
        <w:rPr>
          <w:rFonts w:hint="eastAsia" w:asciiTheme="minorEastAsia" w:hAnsiTheme="minorEastAsia" w:cstheme="minorEastAsia"/>
          <w:szCs w:val="28"/>
          <w:lang w:val="en-US" w:eastAsia="zh-CN"/>
        </w:rPr>
        <w:t>公里</w:t>
      </w:r>
      <w:r>
        <w:rPr>
          <w:rFonts w:hint="eastAsia" w:asciiTheme="minorEastAsia" w:hAnsiTheme="minorEastAsia" w:cstheme="minorEastAsia"/>
          <w:szCs w:val="28"/>
        </w:rPr>
        <w:t>范围。</w:t>
      </w:r>
      <w:bookmarkStart w:id="42" w:name="_Toc18092"/>
      <w:bookmarkStart w:id="43" w:name="_Toc12659"/>
      <w:bookmarkStart w:id="44" w:name="_Toc3123"/>
      <w:bookmarkStart w:id="45" w:name="_Toc30267"/>
      <w:bookmarkStart w:id="46" w:name="_Toc19166"/>
      <w:bookmarkStart w:id="47" w:name="_Toc12386"/>
      <w:bookmarkStart w:id="48" w:name="_Toc12186"/>
      <w:bookmarkStart w:id="49" w:name="_Toc923"/>
    </w:p>
    <w:p w14:paraId="1A4F59D0">
      <w:pPr>
        <w:ind w:firstLine="560" w:firstLineChars="200"/>
        <w:rPr>
          <w:rFonts w:asciiTheme="minorEastAsia" w:hAnsiTheme="minorEastAsia" w:cstheme="minorEastAsia"/>
          <w:szCs w:val="28"/>
        </w:rPr>
      </w:pPr>
      <w:r>
        <w:rPr>
          <w:rFonts w:hint="eastAsia" w:asciiTheme="minorEastAsia" w:hAnsiTheme="minorEastAsia" w:cstheme="minorEastAsia"/>
          <w:szCs w:val="28"/>
        </w:rPr>
        <w:t>（2）高速公路、铁路沿线两侧2</w:t>
      </w:r>
      <w:r>
        <w:rPr>
          <w:rFonts w:hint="eastAsia" w:asciiTheme="minorEastAsia" w:hAnsiTheme="minorEastAsia" w:cstheme="minorEastAsia"/>
          <w:szCs w:val="28"/>
          <w:lang w:val="en-US" w:eastAsia="zh-CN"/>
        </w:rPr>
        <w:t>公里</w:t>
      </w:r>
      <w:r>
        <w:rPr>
          <w:rFonts w:hint="eastAsia" w:asciiTheme="minorEastAsia" w:hAnsiTheme="minorEastAsia" w:cstheme="minorEastAsia"/>
          <w:szCs w:val="28"/>
        </w:rPr>
        <w:t>范围内。</w:t>
      </w:r>
    </w:p>
    <w:p w14:paraId="6E1E5B76">
      <w:pPr>
        <w:ind w:firstLine="560" w:firstLineChars="200"/>
        <w:rPr>
          <w:rFonts w:asciiTheme="minorEastAsia" w:hAnsiTheme="minorEastAsia" w:cstheme="minorEastAsia"/>
          <w:szCs w:val="28"/>
        </w:rPr>
      </w:pPr>
      <w:r>
        <w:rPr>
          <w:rFonts w:hint="eastAsia" w:asciiTheme="minorEastAsia" w:hAnsiTheme="minorEastAsia" w:cstheme="minorEastAsia"/>
          <w:szCs w:val="28"/>
        </w:rPr>
        <w:t>（3）国道、省道公路干线沿线两侧1</w:t>
      </w:r>
      <w:r>
        <w:rPr>
          <w:rFonts w:hint="eastAsia" w:asciiTheme="minorEastAsia" w:hAnsiTheme="minorEastAsia" w:cstheme="minorEastAsia"/>
          <w:szCs w:val="28"/>
          <w:lang w:val="en-US" w:eastAsia="zh-CN"/>
        </w:rPr>
        <w:t>公里</w:t>
      </w:r>
      <w:r>
        <w:rPr>
          <w:rFonts w:hint="eastAsia" w:asciiTheme="minorEastAsia" w:hAnsiTheme="minorEastAsia" w:cstheme="minorEastAsia"/>
          <w:szCs w:val="28"/>
        </w:rPr>
        <w:t>范围内。</w:t>
      </w:r>
      <w:bookmarkEnd w:id="42"/>
      <w:bookmarkEnd w:id="43"/>
      <w:bookmarkEnd w:id="44"/>
      <w:bookmarkEnd w:id="45"/>
      <w:bookmarkEnd w:id="46"/>
      <w:bookmarkEnd w:id="47"/>
      <w:bookmarkEnd w:id="48"/>
      <w:bookmarkEnd w:id="49"/>
      <w:bookmarkStart w:id="50" w:name="_Toc14480"/>
      <w:bookmarkStart w:id="51" w:name="_Toc16073"/>
      <w:bookmarkStart w:id="52" w:name="_Toc19219"/>
      <w:bookmarkStart w:id="53" w:name="_Toc32320"/>
      <w:bookmarkStart w:id="54" w:name="_Toc30126"/>
      <w:bookmarkStart w:id="55" w:name="_Toc31345"/>
      <w:bookmarkStart w:id="56" w:name="_Toc15555"/>
      <w:bookmarkStart w:id="57" w:name="_Toc16639"/>
    </w:p>
    <w:p w14:paraId="36BD7381">
      <w:pPr>
        <w:ind w:firstLine="560" w:firstLineChars="200"/>
        <w:rPr>
          <w:rFonts w:asciiTheme="minorEastAsia" w:hAnsiTheme="minorEastAsia" w:cstheme="minorEastAsia"/>
          <w:szCs w:val="28"/>
        </w:rPr>
      </w:pPr>
      <w:r>
        <w:rPr>
          <w:rFonts w:hint="eastAsia" w:asciiTheme="minorEastAsia" w:hAnsiTheme="minorEastAsia" w:cstheme="minorEastAsia"/>
          <w:szCs w:val="28"/>
        </w:rPr>
        <w:t>（4）湖南河伯岭省级森林公园、湖南天子湖国家湿地公园、湖南邵阳宝庆省级森林公园、塘田战时讲学院所在区域及其边缘外延1</w:t>
      </w:r>
      <w:r>
        <w:rPr>
          <w:rFonts w:hint="eastAsia" w:asciiTheme="minorEastAsia" w:hAnsiTheme="minorEastAsia" w:cstheme="minorEastAsia"/>
          <w:szCs w:val="28"/>
          <w:lang w:val="en-US" w:eastAsia="zh-CN"/>
        </w:rPr>
        <w:t>公里</w:t>
      </w:r>
      <w:r>
        <w:rPr>
          <w:rFonts w:hint="eastAsia" w:asciiTheme="minorEastAsia" w:hAnsiTheme="minorEastAsia" w:cstheme="minorEastAsia"/>
          <w:szCs w:val="28"/>
        </w:rPr>
        <w:t>范围内。</w:t>
      </w:r>
      <w:bookmarkEnd w:id="50"/>
      <w:bookmarkEnd w:id="51"/>
      <w:bookmarkEnd w:id="52"/>
      <w:bookmarkEnd w:id="53"/>
      <w:bookmarkEnd w:id="54"/>
      <w:bookmarkEnd w:id="55"/>
      <w:bookmarkEnd w:id="56"/>
      <w:bookmarkEnd w:id="57"/>
    </w:p>
    <w:p w14:paraId="2B8EBE75">
      <w:pPr>
        <w:ind w:firstLine="560" w:firstLineChars="200"/>
        <w:rPr>
          <w:rFonts w:hint="eastAsia" w:asciiTheme="minorEastAsia" w:hAnsiTheme="minorEastAsia" w:cstheme="minorEastAsia"/>
          <w:szCs w:val="28"/>
        </w:rPr>
      </w:pPr>
      <w:r>
        <w:rPr>
          <w:rFonts w:hint="eastAsia" w:asciiTheme="minorEastAsia" w:hAnsiTheme="minorEastAsia" w:cstheme="minorEastAsia"/>
          <w:szCs w:val="28"/>
        </w:rPr>
        <w:t>（5） 法律</w:t>
      </w:r>
      <w:r>
        <w:rPr>
          <w:rFonts w:hint="eastAsia" w:asciiTheme="minorEastAsia" w:hAnsiTheme="minorEastAsia" w:cstheme="minorEastAsia"/>
          <w:szCs w:val="28"/>
          <w:lang w:eastAsia="zh-CN"/>
        </w:rPr>
        <w:t>、</w:t>
      </w:r>
      <w:r>
        <w:rPr>
          <w:rFonts w:hint="eastAsia" w:asciiTheme="minorEastAsia" w:hAnsiTheme="minorEastAsia" w:cstheme="minorEastAsia"/>
          <w:szCs w:val="28"/>
        </w:rPr>
        <w:t xml:space="preserve">法规以及规范性文件规定的其他禁止露天焚烧秸秆的区域。 </w:t>
      </w:r>
    </w:p>
    <w:p w14:paraId="48BD8A28">
      <w:pPr>
        <w:ind w:firstLine="562" w:firstLineChars="200"/>
        <w:rPr>
          <w:rFonts w:hint="eastAsia" w:asciiTheme="minorEastAsia" w:hAnsiTheme="minorEastAsia" w:cstheme="minorEastAsia"/>
          <w:b/>
          <w:bCs/>
          <w:szCs w:val="28"/>
        </w:rPr>
      </w:pPr>
      <w:r>
        <w:rPr>
          <w:rFonts w:hint="eastAsia" w:asciiTheme="minorEastAsia" w:hAnsiTheme="minorEastAsia" w:cstheme="minorEastAsia"/>
          <w:b/>
          <w:bCs/>
          <w:szCs w:val="28"/>
        </w:rPr>
        <w:t>3、划定成果</w:t>
      </w:r>
    </w:p>
    <w:p w14:paraId="14BC71B1">
      <w:pPr>
        <w:ind w:firstLine="560" w:firstLineChars="200"/>
        <w:rPr>
          <w:rFonts w:hint="eastAsia" w:asciiTheme="minorEastAsia" w:hAnsiTheme="minorEastAsia" w:cstheme="minorEastAsia"/>
          <w:b/>
          <w:bCs/>
          <w:szCs w:val="28"/>
        </w:rPr>
      </w:pPr>
      <w:r>
        <w:rPr>
          <w:rFonts w:hint="eastAsia" w:asciiTheme="minorEastAsia" w:hAnsiTheme="minorEastAsia" w:cstheme="minorEastAsia"/>
          <w:b w:val="0"/>
          <w:bCs w:val="0"/>
          <w:szCs w:val="28"/>
        </w:rPr>
        <w:t>邵阳县行政区面积2001平方公里，包含21个乡镇场（街道）、2个林场，辖区耕地总面积59405.47公顷，禁烧区耕地面积41587.64 公顷 ，限烧区耕地面积17817.84 公顷，禁烧耕地面积比例为70.01%。禁烧区涉及20个乡镇场（街道）、2个林场，其中全部耕地划为禁烧区的有1个乡镇场，分别为七里山园艺场，2个林场，分别为五峰铺林场、河伯岭林场，全部耕地划为限烧区的乡镇（街道）1个，分别为金江乡，其他乡镇禁烧耕地面积比例在27.62%-98.47%。</w:t>
      </w:r>
    </w:p>
    <w:p w14:paraId="1DCB4632">
      <w:pPr>
        <w:ind w:firstLine="560" w:firstLineChars="200"/>
        <w:rPr>
          <w:rFonts w:hint="eastAsia" w:asciiTheme="minorEastAsia" w:hAnsiTheme="minorEastAsia" w:cstheme="minorEastAsia"/>
          <w:szCs w:val="28"/>
          <w:lang w:eastAsia="zh-CN"/>
        </w:rPr>
      </w:pPr>
      <w:r>
        <w:rPr>
          <w:rFonts w:hint="eastAsia" w:asciiTheme="minorEastAsia" w:hAnsiTheme="minorEastAsia" w:cstheme="minorEastAsia"/>
          <w:szCs w:val="28"/>
        </w:rPr>
        <w:t>邵阳县涉及3条高速公路（沪昆高速、二广高速、白新高速），2条铁路（怀邵衡铁路、洛湛铁路），3条国道（G320国道、G207国道、G356国道），3条省道（S236、S240、S242、S336、S550、S552、S223），自然保护区（湖南河伯岭省级森林公园、湖南天子湖国家湿地公园、湖南邵阳宝庆省级森林公园</w:t>
      </w:r>
      <w:r>
        <w:rPr>
          <w:rFonts w:hint="eastAsia" w:asciiTheme="minorEastAsia" w:hAnsiTheme="minorEastAsia" w:cstheme="minorEastAsia"/>
          <w:szCs w:val="28"/>
          <w:lang w:eastAsia="zh-CN"/>
        </w:rPr>
        <w:t>、</w:t>
      </w:r>
      <w:r>
        <w:rPr>
          <w:rFonts w:hint="eastAsia" w:asciiTheme="minorEastAsia" w:hAnsiTheme="minorEastAsia" w:cstheme="minorEastAsia"/>
          <w:szCs w:val="28"/>
        </w:rPr>
        <w:t>塘田战时讲学院）</w:t>
      </w:r>
      <w:r>
        <w:rPr>
          <w:rFonts w:hint="eastAsia" w:asciiTheme="minorEastAsia" w:hAnsiTheme="minorEastAsia" w:cstheme="minorEastAsia"/>
          <w:szCs w:val="28"/>
          <w:lang w:eastAsia="zh-CN"/>
        </w:rPr>
        <w:t>。</w:t>
      </w:r>
    </w:p>
    <w:p w14:paraId="2FBC131B">
      <w:pPr>
        <w:ind w:firstLine="560" w:firstLineChars="200"/>
        <w:rPr>
          <w:rFonts w:hint="eastAsia" w:asciiTheme="minorEastAsia" w:hAnsiTheme="minorEastAsia" w:cstheme="minorEastAsia"/>
          <w:szCs w:val="28"/>
          <w:lang w:val="en-US" w:eastAsia="zh-CN"/>
        </w:rPr>
      </w:pPr>
      <w:r>
        <w:rPr>
          <w:rFonts w:hint="eastAsia" w:asciiTheme="minorEastAsia" w:hAnsiTheme="minorEastAsia" w:cstheme="minorEastAsia"/>
          <w:szCs w:val="28"/>
        </w:rPr>
        <w:t>禁烧区</w:t>
      </w:r>
      <w:r>
        <w:rPr>
          <w:rFonts w:hint="eastAsia" w:asciiTheme="minorEastAsia" w:hAnsiTheme="minorEastAsia" w:cstheme="minorEastAsia"/>
          <w:szCs w:val="28"/>
          <w:lang w:val="en-US" w:eastAsia="zh-CN"/>
        </w:rPr>
        <w:t>范围：</w:t>
      </w:r>
    </w:p>
    <w:p w14:paraId="41E2D868">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塘渡口镇</w:t>
      </w:r>
      <w:r>
        <w:rPr>
          <w:rFonts w:hint="eastAsia" w:asciiTheme="minorEastAsia" w:hAnsiTheme="minorEastAsia" w:eastAsiaTheme="minorEastAsia" w:cstheme="minorEastAsia"/>
          <w:sz w:val="28"/>
          <w:szCs w:val="28"/>
          <w:lang w:eastAsia="zh-CN"/>
        </w:rPr>
        <w:t>：禁烧区面积约6412.3</w:t>
      </w:r>
      <w:r>
        <w:rPr>
          <w:rFonts w:hint="eastAsia" w:asciiTheme="minorEastAsia" w:hAnsiTheme="minorEastAsia" w:eastAsiaTheme="minorEastAsia" w:cstheme="minorEastAsia"/>
          <w:sz w:val="28"/>
          <w:szCs w:val="28"/>
          <w:lang w:val="en-US" w:eastAsia="zh-CN"/>
        </w:rPr>
        <w:t>0</w:t>
      </w:r>
      <w:r>
        <w:rPr>
          <w:rFonts w:hint="eastAsia" w:asciiTheme="minorEastAsia" w:hAnsiTheme="minorEastAsia" w:eastAsiaTheme="minorEastAsia" w:cstheme="minorEastAsia"/>
          <w:sz w:val="28"/>
          <w:szCs w:val="28"/>
          <w:lang w:eastAsia="zh-CN"/>
        </w:rPr>
        <w:t>公顷，其中大岭社区、石湾社区、沙坪社区、双合社区、桂竹山社区、峡山社区、红石社区、梅子院村、楠木村、五星村、桂花村、书堂山村、向阳村、岐山村、大坝村、罗吉村、玉田村、良山村、榨木桥村、白羊铺村、石桥村、云山村、石虎村、石牛村、双杏村、鱼鳞村、黄塘村、石梅村、峦山村、孟家塘村、塔水桥村、真如庵村、双江口村、海棠村、坪田村、东冲村、塘坪村、檀合村、八一街村、联合村、老木塘村、兴安村、蔡山团村、八零七厂</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085DFE23">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夏四村、霞塘云村、雷公坝村、石子江村、反封林场</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部分耕地（具体详见塘渡口镇秸秆禁烧区、限烧区耕地分布图）。</w:t>
      </w:r>
    </w:p>
    <w:p w14:paraId="10EB156F">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白仓镇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3690.21</w:t>
      </w:r>
      <w:r>
        <w:rPr>
          <w:rFonts w:hint="eastAsia" w:asciiTheme="minorEastAsia" w:hAnsiTheme="minorEastAsia" w:eastAsiaTheme="minorEastAsia" w:cstheme="minorEastAsia"/>
          <w:sz w:val="28"/>
          <w:szCs w:val="28"/>
          <w:lang w:eastAsia="zh-CN"/>
        </w:rPr>
        <w:t>公顷，其中四峰社</w:t>
      </w:r>
      <w:r>
        <w:rPr>
          <w:rFonts w:hint="eastAsia" w:asciiTheme="minorEastAsia" w:hAnsiTheme="minorEastAsia" w:eastAsiaTheme="minorEastAsia" w:cstheme="minorEastAsia"/>
          <w:sz w:val="28"/>
          <w:szCs w:val="28"/>
          <w:lang w:val="en-US" w:eastAsia="zh-CN"/>
        </w:rPr>
        <w:t>区、</w:t>
      </w:r>
      <w:r>
        <w:rPr>
          <w:rFonts w:hint="eastAsia" w:asciiTheme="minorEastAsia" w:hAnsiTheme="minorEastAsia" w:eastAsiaTheme="minorEastAsia" w:cstheme="minorEastAsia"/>
          <w:sz w:val="28"/>
          <w:szCs w:val="28"/>
          <w:lang w:eastAsia="zh-CN"/>
        </w:rPr>
        <w:t>白仓社区、白云村、何伏村、坦湾村、黄连村、井阳村、迎丰村、石脚村、中乙村、鸟语村、大水村、合兴村、竹元村、团结村、石龙村、胜利村、沙河村、塘代村、石牛村、双合村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4E380278">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新华村、岩塘村、观竹村、三堆村、夏亮村、水津村、喜鹊村、千秋村、新民村、莫元村、三门村、横冲村、新建村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部分耕地（具体详见白仓镇秸秆禁烧区、限烧区耕地分布图）。</w:t>
      </w:r>
    </w:p>
    <w:p w14:paraId="4C5D9578">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金称市镇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987.79</w:t>
      </w:r>
      <w:r>
        <w:rPr>
          <w:rFonts w:hint="eastAsia" w:asciiTheme="minorEastAsia" w:hAnsiTheme="minorEastAsia" w:eastAsiaTheme="minorEastAsia" w:cstheme="minorEastAsia"/>
          <w:sz w:val="28"/>
          <w:szCs w:val="28"/>
          <w:lang w:eastAsia="zh-CN"/>
        </w:rPr>
        <w:t>公顷，其中金称市村、大兴村、金元村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1B10C654">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石马村、范街村、金河村、金良村、陡石村、社田村、青石塘村、三星村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部分耕地（具体详见金称市镇秸秆禁烧区、限烧区耕地分布图）。</w:t>
      </w:r>
    </w:p>
    <w:p w14:paraId="3FD808A2">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塘田市镇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2311.55</w:t>
      </w:r>
      <w:r>
        <w:rPr>
          <w:rFonts w:hint="eastAsia" w:asciiTheme="minorEastAsia" w:hAnsiTheme="minorEastAsia" w:eastAsiaTheme="minorEastAsia" w:cstheme="minorEastAsia"/>
          <w:sz w:val="28"/>
          <w:szCs w:val="28"/>
          <w:lang w:eastAsia="zh-CN"/>
        </w:rPr>
        <w:t>公顷，其中扎田村、河边村、中山村、长清村、向荣村、白伏村、三角村、天成村、石门村、赤山村、三清村、塘田村、对河村、水西村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671D2608">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园艺场村、大坪村、双井村、夏溢村、肖八村、沿滩村、花洲村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部分耕地（具体详见塘田市镇秸秆禁烧区、限烧区耕地分布图）。</w:t>
      </w:r>
    </w:p>
    <w:p w14:paraId="0643ADF5">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黄亭市镇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2278.88</w:t>
      </w:r>
      <w:r>
        <w:rPr>
          <w:rFonts w:hint="eastAsia" w:asciiTheme="minorEastAsia" w:hAnsiTheme="minorEastAsia" w:eastAsiaTheme="minorEastAsia" w:cstheme="minorEastAsia"/>
          <w:sz w:val="28"/>
          <w:szCs w:val="28"/>
          <w:lang w:eastAsia="zh-CN"/>
        </w:rPr>
        <w:t>公顷，其中永塘村、烟山村、青草村、双龙村、叶龙村、对河村、望江湖村、三比田村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581BC380">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码头村、兴隆村、中心村、金坛村、油斯村、金峰村、步田村、大田村、易家村、双阳村、和平村、唯一村、红星村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部分耕地（具体详见黄亭市镇秸秆禁烧区、限烧区耕地分布图）。</w:t>
      </w:r>
    </w:p>
    <w:p w14:paraId="61CDDACB">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长阳铺镇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2943.58</w:t>
      </w:r>
      <w:r>
        <w:rPr>
          <w:rFonts w:hint="eastAsia" w:asciiTheme="minorEastAsia" w:hAnsiTheme="minorEastAsia" w:eastAsiaTheme="minorEastAsia" w:cstheme="minorEastAsia"/>
          <w:sz w:val="28"/>
          <w:szCs w:val="28"/>
          <w:lang w:eastAsia="zh-CN"/>
        </w:rPr>
        <w:t>公顷，其中长阳铺村、龙湾岭村、竹塘村、新铺垅村、杉木岭村、高巩桥村、秋田村、梽木山村、石塘村、石湾村、湴田村、观云村、合心村、长阳铺镇林场</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64FFEB49">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石溪村、新立村、白江村、黄田坪村、银仙桥村、大院村、元安岭茶场</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部分耕地（具体详见长阳铺镇秸秆禁烧区、限烧区耕地分布图）。</w:t>
      </w:r>
    </w:p>
    <w:p w14:paraId="0141EFF8">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岩口铺镇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2204.54</w:t>
      </w:r>
      <w:r>
        <w:rPr>
          <w:rFonts w:hint="eastAsia" w:asciiTheme="minorEastAsia" w:hAnsiTheme="minorEastAsia" w:eastAsiaTheme="minorEastAsia" w:cstheme="minorEastAsia"/>
          <w:sz w:val="28"/>
          <w:szCs w:val="28"/>
          <w:lang w:eastAsia="zh-CN"/>
        </w:rPr>
        <w:t>公顷，其中岩口铺村、油麻井村、石脚村、梅冲村、皇安寺村、花桥村、新梅岭村、金水村、双江村、如意村、双江水库</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1D73B9CB">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丰江村、吊井楼村、石滩村、油草桥村、白地村、云赵村、兴隆村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部分耕地（具体详见岩口铺镇秸秆禁烧区、限烧区耕地分布图）。</w:t>
      </w:r>
    </w:p>
    <w:p w14:paraId="4DCE80F8">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九公桥镇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3345.63</w:t>
      </w:r>
      <w:r>
        <w:rPr>
          <w:rFonts w:hint="eastAsia" w:asciiTheme="minorEastAsia" w:hAnsiTheme="minorEastAsia" w:eastAsiaTheme="minorEastAsia" w:cstheme="minorEastAsia"/>
          <w:sz w:val="28"/>
          <w:szCs w:val="28"/>
          <w:lang w:eastAsia="zh-CN"/>
        </w:rPr>
        <w:t>公顷，其中九公桥村、中合村、合意村、新塘村、凤凰村、白竹村、荷叶村、锁石村、古塘村、人字村、庙山村、四联村、大湾村、塘洪村、黎什村、东田村、市林科所</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12F899F1">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白田村</w:t>
      </w:r>
      <w:r>
        <w:rPr>
          <w:rFonts w:hint="eastAsia" w:asciiTheme="minorEastAsia" w:hAnsiTheme="minorEastAsia" w:eastAsiaTheme="minorEastAsia" w:cstheme="minorEastAsia"/>
          <w:sz w:val="28"/>
          <w:szCs w:val="28"/>
          <w:lang w:eastAsia="zh-CN"/>
        </w:rPr>
        <w:t>、枫江村、长冲村、长排村、金盆村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部分耕地（具体详见九公桥镇秸秆禁烧区、限烧区耕地分布图）。</w:t>
      </w:r>
    </w:p>
    <w:p w14:paraId="16C49D9D">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下花桥镇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2490.24</w:t>
      </w:r>
      <w:r>
        <w:rPr>
          <w:rFonts w:hint="eastAsia" w:asciiTheme="minorEastAsia" w:hAnsiTheme="minorEastAsia" w:eastAsiaTheme="minorEastAsia" w:cstheme="minorEastAsia"/>
          <w:sz w:val="28"/>
          <w:szCs w:val="28"/>
          <w:lang w:eastAsia="zh-CN"/>
        </w:rPr>
        <w:t>公顷，其中储英居委会、黄土坝村、徐家桥村、石莲村、岩头村、苏铺村、两路村、岩门村、花桥村、周家村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295B0D81">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新亭村、五里村、大观村、高龙村、双联村、田中村、双江村、堡口村、又兴村、合兴村、正兴村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部分耕地（具体详见下花桥镇秸秆禁烧区、限烧区耕地分布图）。</w:t>
      </w:r>
    </w:p>
    <w:p w14:paraId="68CAC6D0">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谷洲镇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1597.77</w:t>
      </w:r>
      <w:r>
        <w:rPr>
          <w:rFonts w:hint="eastAsia" w:asciiTheme="minorEastAsia" w:hAnsiTheme="minorEastAsia" w:eastAsiaTheme="minorEastAsia" w:cstheme="minorEastAsia"/>
          <w:sz w:val="28"/>
          <w:szCs w:val="28"/>
          <w:lang w:eastAsia="zh-CN"/>
        </w:rPr>
        <w:t>公顷，其中谷洲村、古娄村、决菜村、良山村、黄坳村、合兴村、三联村、农场</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67BC55DA">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式南社区、小江村、杨柏村、长城村、田江村、大塘村、罗塘村、木山村、岳弄村、湘仁村、中坝村、廖乔村、清水村、湾塘村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部分耕地（具体详见谷洲镇秸秆禁烧区、限烧区耕地分布图）。</w:t>
      </w:r>
    </w:p>
    <w:p w14:paraId="13AC2D32">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郦家坪镇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1026.19</w:t>
      </w:r>
      <w:r>
        <w:rPr>
          <w:rFonts w:hint="eastAsia" w:asciiTheme="minorEastAsia" w:hAnsiTheme="minorEastAsia" w:eastAsiaTheme="minorEastAsia" w:cstheme="minorEastAsia"/>
          <w:sz w:val="28"/>
          <w:szCs w:val="28"/>
          <w:lang w:eastAsia="zh-CN"/>
        </w:rPr>
        <w:t>公顷，其中横桥村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33716A26">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郦家坪村、杉木桥村、和平村、地田村、双甲村、水口头村、大塘坪村、姚家铺村、三塘村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部分耕地（具体详见郦家坪镇秸秆禁烧区、限烧区耕地分布图）。</w:t>
      </w:r>
    </w:p>
    <w:p w14:paraId="1F08E1BF">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五峰铺镇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3459.37</w:t>
      </w:r>
      <w:r>
        <w:rPr>
          <w:rFonts w:hint="eastAsia" w:asciiTheme="minorEastAsia" w:hAnsiTheme="minorEastAsia" w:eastAsiaTheme="minorEastAsia" w:cstheme="minorEastAsia"/>
          <w:sz w:val="28"/>
          <w:szCs w:val="28"/>
          <w:lang w:eastAsia="zh-CN"/>
        </w:rPr>
        <w:t>公顷，其中兴峰社区、龙岩社区、七里村、双河村、燕塘村、刘家村、白田村、马草村、仁湾村、利群村、大田村、合兴村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6F37AD66">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六里村、向联村、田东村、板桥村、胡桥村、长江村、界牌村、青云村、袅旗村、东山村、东阳村、众和村、塘诗村、东井村、大户村、驻马村、排桥村、羊古村、荷叶塘村、五星村、黄旗村、新田村、白竹村、楠木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部分耕地（具体详见五峰铺镇、五峰铺林场秸秆禁烧区、限烧区耕地分布图）。</w:t>
      </w:r>
    </w:p>
    <w:p w14:paraId="5C3B68DA">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小溪市镇</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807.90</w:t>
      </w:r>
      <w:r>
        <w:rPr>
          <w:rFonts w:hint="eastAsia" w:asciiTheme="minorEastAsia" w:hAnsiTheme="minorEastAsia" w:eastAsiaTheme="minorEastAsia" w:cstheme="minorEastAsia"/>
          <w:sz w:val="28"/>
          <w:szCs w:val="28"/>
          <w:lang w:eastAsia="zh-CN"/>
        </w:rPr>
        <w:t>公顷，其中梅洲村、川门村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5E2CFD99">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河沿村、田心村、山田村、岩门村、清水村、活水村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部分耕地（具体详见小溪市镇秸秆禁烧区、限烧区耕地分布图）。</w:t>
      </w:r>
    </w:p>
    <w:p w14:paraId="57B4E5E1">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长乐乡</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1344.80</w:t>
      </w:r>
      <w:r>
        <w:rPr>
          <w:rFonts w:hint="eastAsia" w:asciiTheme="minorEastAsia" w:hAnsiTheme="minorEastAsia" w:eastAsiaTheme="minorEastAsia" w:cstheme="minorEastAsia"/>
          <w:sz w:val="28"/>
          <w:szCs w:val="28"/>
          <w:lang w:eastAsia="zh-CN"/>
        </w:rPr>
        <w:t>公顷，其中渡头村、江东村、石边村、花江村、伏溪村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6FE15C57">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南花村、排头村、塔桥联合村、长阳村、长余村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部分耕地（具体详见长乐乡秸秆禁烧区、限烧区耕地分布图）。</w:t>
      </w:r>
    </w:p>
    <w:p w14:paraId="24787545">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蔡桥乡</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1443.39</w:t>
      </w:r>
      <w:r>
        <w:rPr>
          <w:rFonts w:hint="eastAsia" w:asciiTheme="minorEastAsia" w:hAnsiTheme="minorEastAsia" w:eastAsiaTheme="minorEastAsia" w:cstheme="minorEastAsia"/>
          <w:sz w:val="28"/>
          <w:szCs w:val="28"/>
          <w:lang w:eastAsia="zh-CN"/>
        </w:rPr>
        <w:t>公顷，其中石河村、城塘村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1F6CC743">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南林村、桂花村、杨桥村、双龙村、陡山村、龙口村、求山村、德云村、回龙村、柘双村、福林村、水口村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部分耕地（具体详见蔡桥乡秸秆禁烧区、限烧区耕地分布图）。</w:t>
      </w:r>
    </w:p>
    <w:p w14:paraId="39A75422">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河伯乡</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1778.33</w:t>
      </w:r>
      <w:r>
        <w:rPr>
          <w:rFonts w:hint="eastAsia" w:asciiTheme="minorEastAsia" w:hAnsiTheme="minorEastAsia" w:eastAsiaTheme="minorEastAsia" w:cstheme="minorEastAsia"/>
          <w:sz w:val="28"/>
          <w:szCs w:val="28"/>
          <w:lang w:eastAsia="zh-CN"/>
        </w:rPr>
        <w:t>公顷，其中五皇村、陈仕村、易仕村、城背村、永兴村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36E25BE1">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源头村、苏江村、石塘村、杨青村、雷公村、井子村、上阳村、杨田村、公屋村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部分耕地（具体详见河伯乡、河伯岭林场秸秆禁烧区、限烧区耕地分布图）。</w:t>
      </w:r>
    </w:p>
    <w:p w14:paraId="01DA1A94">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黄荆乡</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1463.33</w:t>
      </w:r>
      <w:r>
        <w:rPr>
          <w:rFonts w:hint="eastAsia" w:asciiTheme="minorEastAsia" w:hAnsiTheme="minorEastAsia" w:eastAsiaTheme="minorEastAsia" w:cstheme="minorEastAsia"/>
          <w:sz w:val="28"/>
          <w:szCs w:val="28"/>
          <w:lang w:eastAsia="zh-CN"/>
        </w:rPr>
        <w:t>公顷，其中腊树村、青山村、长乡村、毛铺村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1E69175C">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四塘村、高龙村、大坪村、大付村、田庄村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部分耕地（具体详见黄荆乡秸秆禁烧区、限烧区耕地分布图）。</w:t>
      </w:r>
    </w:p>
    <w:p w14:paraId="3A7D56F1">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诸甲亭乡</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927.41</w:t>
      </w:r>
      <w:r>
        <w:rPr>
          <w:rFonts w:hint="eastAsia" w:asciiTheme="minorEastAsia" w:hAnsiTheme="minorEastAsia" w:eastAsiaTheme="minorEastAsia" w:cstheme="minorEastAsia"/>
          <w:sz w:val="28"/>
          <w:szCs w:val="28"/>
          <w:lang w:eastAsia="zh-CN"/>
        </w:rPr>
        <w:t>公顷，其中江下村、洪庙村、新安村、诸甲亭村、祖阳村、中山村、三杰村、长丰村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部分耕地（具体详见诸甲亭乡秸秆禁烧区、限烧区耕地分布图）。</w:t>
      </w:r>
    </w:p>
    <w:p w14:paraId="40641318">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罗城乡</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643.50</w:t>
      </w:r>
      <w:r>
        <w:rPr>
          <w:rFonts w:hint="eastAsia" w:asciiTheme="minorEastAsia" w:hAnsiTheme="minorEastAsia" w:eastAsiaTheme="minorEastAsia" w:cstheme="minorEastAsia"/>
          <w:sz w:val="28"/>
          <w:szCs w:val="28"/>
          <w:lang w:eastAsia="zh-CN"/>
        </w:rPr>
        <w:t>公顷，其中罗城村、铜锣村</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p>
    <w:p w14:paraId="407739C2">
      <w:pPr>
        <w:pStyle w:val="30"/>
        <w:numPr>
          <w:ilvl w:val="0"/>
          <w:numId w:val="0"/>
        </w:numPr>
        <w:ind w:firstLine="560"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color w:val="auto"/>
          <w:sz w:val="28"/>
          <w:szCs w:val="28"/>
          <w:lang w:eastAsia="zh-CN"/>
        </w:rPr>
        <w:t>保和村、扣子铺村、大塘村、淡茄子铺村、大莲村</w:t>
      </w:r>
      <w:r>
        <w:rPr>
          <w:rFonts w:hint="eastAsia" w:asciiTheme="minorEastAsia" w:hAnsiTheme="minorEastAsia" w:eastAsiaTheme="minorEastAsia" w:cstheme="minorEastAsia"/>
          <w:color w:val="auto"/>
          <w:sz w:val="28"/>
          <w:szCs w:val="28"/>
          <w:lang w:val="en-US" w:eastAsia="zh-CN"/>
        </w:rPr>
        <w:t>范围内</w:t>
      </w:r>
      <w:r>
        <w:rPr>
          <w:rFonts w:hint="eastAsia" w:asciiTheme="minorEastAsia" w:hAnsiTheme="minorEastAsia" w:eastAsiaTheme="minorEastAsia" w:cstheme="minorEastAsia"/>
          <w:sz w:val="28"/>
          <w:szCs w:val="28"/>
          <w:lang w:eastAsia="zh-CN"/>
        </w:rPr>
        <w:t>部分耕地（具体详见罗城乡秸秆禁烧区、限烧区耕地分布图）。</w:t>
      </w:r>
    </w:p>
    <w:p w14:paraId="7BAA3356">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七里山园艺场</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358.67</w:t>
      </w:r>
      <w:r>
        <w:rPr>
          <w:rFonts w:hint="eastAsia" w:asciiTheme="minorEastAsia" w:hAnsiTheme="minorEastAsia" w:eastAsiaTheme="minorEastAsia" w:cstheme="minorEastAsia"/>
          <w:sz w:val="28"/>
          <w:szCs w:val="28"/>
          <w:lang w:eastAsia="zh-CN"/>
        </w:rPr>
        <w:t>公顷，其中飞云村、木铎村、新田村、全民社区</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sz w:val="28"/>
          <w:szCs w:val="28"/>
          <w:lang w:eastAsia="zh-CN"/>
        </w:rPr>
        <w:t>（具体详见七里山园艺场秸秆禁烧区、限烧区耕地分布图）。</w:t>
      </w:r>
    </w:p>
    <w:p w14:paraId="0601BB71">
      <w:pPr>
        <w:pStyle w:val="30"/>
        <w:numPr>
          <w:ilvl w:val="0"/>
          <w:numId w:val="3"/>
        </w:numPr>
        <w:ind w:firstLine="64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五峰铺林场</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8.05</w:t>
      </w:r>
      <w:r>
        <w:rPr>
          <w:rFonts w:hint="eastAsia" w:asciiTheme="minorEastAsia" w:hAnsiTheme="minorEastAsia" w:eastAsiaTheme="minorEastAsia" w:cstheme="minorEastAsia"/>
          <w:sz w:val="28"/>
          <w:szCs w:val="28"/>
          <w:lang w:eastAsia="zh-CN"/>
        </w:rPr>
        <w:t>公顷，其中大江村、四工区、二工区、五工区、六工区</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sz w:val="28"/>
          <w:szCs w:val="28"/>
          <w:lang w:eastAsia="zh-CN"/>
        </w:rPr>
        <w:t>（具体详见五峰铺镇、五峰铺林场秸秆禁烧区、限烧区耕地分布图）。</w:t>
      </w:r>
    </w:p>
    <w:p w14:paraId="1FC7911B">
      <w:pPr>
        <w:numPr>
          <w:ilvl w:val="0"/>
          <w:numId w:val="3"/>
        </w:numPr>
        <w:ind w:left="0" w:leftChars="0" w:firstLine="562" w:firstLineChars="200"/>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b/>
          <w:bCs/>
          <w:sz w:val="28"/>
          <w:szCs w:val="28"/>
          <w:lang w:eastAsia="zh-CN"/>
        </w:rPr>
        <w:t>河伯岭林场：</w:t>
      </w:r>
      <w:r>
        <w:rPr>
          <w:rFonts w:hint="eastAsia" w:asciiTheme="minorEastAsia" w:hAnsiTheme="minorEastAsia" w:eastAsiaTheme="minorEastAsia" w:cstheme="minorEastAsia"/>
          <w:sz w:val="28"/>
          <w:szCs w:val="28"/>
          <w:lang w:eastAsia="zh-CN"/>
        </w:rPr>
        <w:t>禁烧区面积约</w:t>
      </w:r>
      <w:r>
        <w:rPr>
          <w:rFonts w:hint="eastAsia" w:asciiTheme="minorEastAsia" w:hAnsiTheme="minorEastAsia" w:eastAsiaTheme="minorEastAsia" w:cstheme="minorEastAsia"/>
          <w:sz w:val="28"/>
          <w:szCs w:val="28"/>
          <w:lang w:val="en-US" w:eastAsia="zh-CN"/>
        </w:rPr>
        <w:t>64.19</w:t>
      </w:r>
      <w:r>
        <w:rPr>
          <w:rFonts w:hint="eastAsia" w:asciiTheme="minorEastAsia" w:hAnsiTheme="minorEastAsia" w:eastAsiaTheme="minorEastAsia" w:cstheme="minorEastAsia"/>
          <w:sz w:val="28"/>
          <w:szCs w:val="28"/>
          <w:lang w:eastAsia="zh-CN"/>
        </w:rPr>
        <w:t>公顷，其中马头岭工区、丰木山工区、石脚楼工区、企坪工区、苗竹山工区、付六冲工区、黄付元工区、大水元工区</w:t>
      </w:r>
      <w:r>
        <w:rPr>
          <w:rFonts w:hint="eastAsia" w:asciiTheme="minorEastAsia" w:hAnsiTheme="minorEastAsia" w:eastAsiaTheme="minorEastAsia" w:cstheme="minorEastAsia"/>
          <w:color w:val="auto"/>
          <w:sz w:val="28"/>
          <w:szCs w:val="28"/>
          <w:lang w:val="en-US" w:eastAsia="zh-CN"/>
        </w:rPr>
        <w:t>范围内所有耕地</w:t>
      </w:r>
      <w:r>
        <w:rPr>
          <w:rFonts w:hint="eastAsia" w:asciiTheme="minorEastAsia" w:hAnsiTheme="minorEastAsia" w:eastAsiaTheme="minorEastAsia" w:cstheme="minorEastAsia"/>
          <w:color w:val="auto"/>
          <w:sz w:val="28"/>
          <w:szCs w:val="28"/>
          <w:lang w:eastAsia="zh-CN"/>
        </w:rPr>
        <w:t>。</w:t>
      </w:r>
      <w:r>
        <w:rPr>
          <w:rFonts w:hint="eastAsia" w:asciiTheme="minorEastAsia" w:hAnsiTheme="minorEastAsia" w:eastAsiaTheme="minorEastAsia" w:cstheme="minorEastAsia"/>
          <w:sz w:val="28"/>
          <w:szCs w:val="28"/>
          <w:lang w:eastAsia="zh-CN"/>
        </w:rPr>
        <w:t>（具体详见河伯乡、河伯岭林场秸秆禁烧区、限烧区耕地分布图）。</w:t>
      </w:r>
    </w:p>
    <w:p w14:paraId="533F76DC">
      <w:pPr>
        <w:numPr>
          <w:ilvl w:val="0"/>
          <w:numId w:val="0"/>
        </w:numPr>
        <w:ind w:left="0" w:leftChars="0" w:firstLine="560" w:firstLineChars="200"/>
        <w:jc w:val="left"/>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t>限烧区范围</w:t>
      </w:r>
      <w:r>
        <w:rPr>
          <w:rFonts w:hint="eastAsia" w:asciiTheme="minorEastAsia" w:hAnsiTheme="minorEastAsia" w:cstheme="minorEastAsia"/>
          <w:sz w:val="28"/>
          <w:szCs w:val="28"/>
          <w:lang w:eastAsia="zh-CN"/>
        </w:rPr>
        <w:t>：金江乡</w:t>
      </w:r>
      <w:r>
        <w:rPr>
          <w:rFonts w:hint="eastAsia" w:asciiTheme="minorEastAsia" w:hAnsiTheme="minorEastAsia" w:eastAsiaTheme="minorEastAsia" w:cstheme="minorEastAsia"/>
          <w:color w:val="auto"/>
          <w:sz w:val="28"/>
          <w:szCs w:val="28"/>
          <w:lang w:val="en-US" w:eastAsia="zh-CN"/>
        </w:rPr>
        <w:t>所有耕地</w:t>
      </w:r>
      <w:r>
        <w:rPr>
          <w:rFonts w:hint="eastAsia" w:asciiTheme="minorEastAsia" w:hAnsiTheme="minorEastAsia" w:cstheme="minorEastAsia"/>
          <w:sz w:val="28"/>
          <w:szCs w:val="28"/>
          <w:lang w:eastAsia="zh-CN"/>
        </w:rPr>
        <w:t>全境限烧区。</w:t>
      </w:r>
      <w:r>
        <w:rPr>
          <w:rFonts w:hint="eastAsia" w:asciiTheme="minorEastAsia" w:hAnsiTheme="minorEastAsia" w:eastAsiaTheme="minorEastAsia" w:cstheme="minorEastAsia"/>
          <w:sz w:val="28"/>
          <w:szCs w:val="28"/>
          <w:lang w:eastAsia="zh-CN"/>
        </w:rPr>
        <w:t>禁烧区以外的</w:t>
      </w:r>
      <w:r>
        <w:rPr>
          <w:rFonts w:hint="eastAsia" w:asciiTheme="minorEastAsia" w:hAnsiTheme="minorEastAsia" w:eastAsiaTheme="minorEastAsia" w:cstheme="minorEastAsia"/>
          <w:sz w:val="28"/>
          <w:szCs w:val="28"/>
          <w:lang w:val="en-US" w:eastAsia="zh-CN"/>
        </w:rPr>
        <w:t>其</w:t>
      </w:r>
      <w:r>
        <w:rPr>
          <w:rFonts w:hint="eastAsia" w:asciiTheme="minorEastAsia" w:hAnsiTheme="minorEastAsia" w:eastAsiaTheme="minorEastAsia" w:cstheme="minorEastAsia"/>
          <w:sz w:val="28"/>
          <w:szCs w:val="28"/>
          <w:lang w:eastAsia="zh-CN"/>
        </w:rPr>
        <w:t>他区域</w:t>
      </w:r>
      <w:r>
        <w:rPr>
          <w:rFonts w:hint="eastAsia" w:asciiTheme="minorEastAsia" w:hAnsiTheme="minorEastAsia" w:eastAsiaTheme="minorEastAsia" w:cstheme="minorEastAsia"/>
          <w:sz w:val="28"/>
          <w:szCs w:val="28"/>
          <w:lang w:val="en-US" w:eastAsia="zh-CN"/>
        </w:rPr>
        <w:t>耕地</w:t>
      </w:r>
      <w:r>
        <w:rPr>
          <w:rFonts w:hint="eastAsia" w:asciiTheme="minorEastAsia" w:hAnsiTheme="minorEastAsia" w:eastAsiaTheme="minorEastAsia" w:cstheme="minorEastAsia"/>
          <w:sz w:val="28"/>
          <w:szCs w:val="28"/>
          <w:lang w:eastAsia="zh-CN"/>
        </w:rPr>
        <w:t>属于限烧区。</w:t>
      </w:r>
    </w:p>
    <w:p w14:paraId="118ABA8F">
      <w:pPr>
        <w:ind w:firstLine="560" w:firstLineChars="200"/>
        <w:rPr>
          <w:rFonts w:asciiTheme="minorEastAsia" w:hAnsiTheme="minorEastAsia" w:cstheme="minorEastAsia"/>
          <w:szCs w:val="28"/>
        </w:rPr>
      </w:pPr>
      <w:r>
        <w:rPr>
          <w:rFonts w:hint="eastAsia" w:asciiTheme="minorEastAsia" w:hAnsiTheme="minorEastAsia" w:cstheme="minorEastAsia"/>
          <w:szCs w:val="28"/>
        </w:rPr>
        <w:t>邵阳县秸秆禁烧区</w:t>
      </w:r>
      <w:r>
        <w:rPr>
          <w:rFonts w:hint="eastAsia" w:asciiTheme="minorEastAsia" w:hAnsiTheme="minorEastAsia" w:cstheme="minorEastAsia"/>
          <w:szCs w:val="28"/>
          <w:lang w:eastAsia="zh-CN"/>
        </w:rPr>
        <w:t>、</w:t>
      </w:r>
      <w:r>
        <w:rPr>
          <w:rFonts w:hint="eastAsia" w:asciiTheme="minorEastAsia" w:hAnsiTheme="minorEastAsia" w:cstheme="minorEastAsia"/>
          <w:szCs w:val="28"/>
        </w:rPr>
        <w:t>限烧区详细信息见附表 3-4。</w:t>
      </w:r>
    </w:p>
    <w:p w14:paraId="5039FC35">
      <w:pPr>
        <w:ind w:firstLine="562" w:firstLineChars="200"/>
        <w:jc w:val="center"/>
        <w:rPr>
          <w:rFonts w:hint="eastAsia" w:ascii="宋体" w:hAnsi="宋体" w:eastAsia="宋体" w:cs="宋体"/>
          <w:b/>
          <w:bCs/>
          <w:color w:val="000000"/>
          <w:kern w:val="0"/>
          <w:szCs w:val="28"/>
        </w:rPr>
      </w:pPr>
      <w:r>
        <w:rPr>
          <w:rFonts w:hint="eastAsia" w:asciiTheme="minorEastAsia" w:hAnsiTheme="minorEastAsia" w:cstheme="minorEastAsia"/>
          <w:b/>
          <w:bCs/>
          <w:color w:val="000000"/>
          <w:kern w:val="0"/>
          <w:szCs w:val="28"/>
        </w:rPr>
        <w:t>表 3-4</w:t>
      </w:r>
      <w:r>
        <w:rPr>
          <w:rFonts w:hint="eastAsia" w:ascii="宋体" w:hAnsi="宋体" w:eastAsia="宋体" w:cs="宋体"/>
          <w:b/>
          <w:bCs/>
          <w:color w:val="000000"/>
          <w:kern w:val="0"/>
          <w:szCs w:val="28"/>
        </w:rPr>
        <w:t>邵阳市邵阳县秸秆禁限烧区统计表</w:t>
      </w:r>
    </w:p>
    <w:tbl>
      <w:tblPr>
        <w:tblStyle w:val="18"/>
        <w:tblW w:w="873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82"/>
        <w:gridCol w:w="780"/>
        <w:gridCol w:w="940"/>
        <w:gridCol w:w="1130"/>
        <w:gridCol w:w="990"/>
        <w:gridCol w:w="1140"/>
        <w:gridCol w:w="1040"/>
        <w:gridCol w:w="930"/>
        <w:gridCol w:w="1202"/>
      </w:tblGrid>
      <w:tr w14:paraId="4831D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9FA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C3F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县（市、区）</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EC7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乡镇（街道）</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07D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行政区划面积（公顷）</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C1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耕地面积（公顷）</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1E7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禁烧区面积（公顷）</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A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限烧区面积（公顷）</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35B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禁烧区占耕地面积比例（%）</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345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主要农作物种类</w:t>
            </w:r>
          </w:p>
        </w:tc>
      </w:tr>
      <w:tr w14:paraId="7BFB5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7DB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8F0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09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塘渡口镇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F5E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24755.64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C0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6511.82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156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6412.30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7F7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99.51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F6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98.47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CC3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4DF6B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57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546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E10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白仓镇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4F7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14035.74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3A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4439.20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95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3690.21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D7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748.99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51E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83.13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71C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2D091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2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A73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91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金称市镇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B5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12413.68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1D9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3105.64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09A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987.79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ED0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2117.85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06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31.81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8CF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4B42D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B79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42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A66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塘田市镇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076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10108.72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369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2651.06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40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2311.55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ECA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339.51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0A0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87.19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A68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07056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2EE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F89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01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黄亭市镇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B2E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13516.60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F4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3598.88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EB9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2278.88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76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1320.00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3A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63.32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E35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48DBF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26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AB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CD6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长阳铺镇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347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9716.79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5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3381.35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21D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2943.58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DD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437.77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AC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87.05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54F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1F858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3B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AF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A6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岩口铺镇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08D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8348.84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AA6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2629.82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A92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2204.54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BE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425.28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28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83.83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0C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0535B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8F1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E7E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54D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九公桥镇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D6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11354.14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9B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3606.95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B8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3345.63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62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261.32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44A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92.76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A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7501E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C02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DE0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95A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下花桥镇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62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8166.98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E83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3171.37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4F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2490.24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59E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681.13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636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78.52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012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45427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91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6BD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8FE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谷洲镇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B18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8574.43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8CD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3144.95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4C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1597.77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ACC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1547.18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FE0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50.80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4AF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546A5D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6EA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04C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9AA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郦家坪镇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4E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10993.21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5CB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3715.72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4A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1026.19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1DB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2689.53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35B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27.62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B80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13478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496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D54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BAD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五峰铺镇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FAC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13866.64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9B6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5410.75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D1C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3459.37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CDF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1951.38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AA5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63.94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55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2A368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82E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AE3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500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小溪市镇</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196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9153.21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EF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2423.74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BD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807.90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1FD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1615.83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6DA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33.33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25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37176E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D3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35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9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长乐乡</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6FB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6423.50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F4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2095.23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6FB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1344.80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D7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750.43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6F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64.18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E0B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16016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4E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6DF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5E0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蔡桥乡</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74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7041.50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83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2158.38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DBB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1443.39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13F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715.00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2B5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66.87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B0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45EAB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DF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A6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E1B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河伯乡</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9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9615.71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A42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2203.47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D7D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1778.33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35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425.14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2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80.71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2F9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494F4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E20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3DA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87B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黄荆乡</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A2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4973.66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15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1644.36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851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1463.33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728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181.03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E3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88.99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3D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0D2B8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1E8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DE3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E7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诸甲亭乡</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67E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5077.27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1FD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1761.42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0E5E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927.41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D5C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834.01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A6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52.65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6B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3DFAA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C0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AC0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D0A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罗城乡</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A8D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3585.20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E64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1134.43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B78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643.50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4E8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490.93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35C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56.72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A01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水稻、玉米、红薯、油菜、大豆</w:t>
            </w:r>
          </w:p>
        </w:tc>
      </w:tr>
      <w:tr w14:paraId="3A56E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001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3F4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749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金江乡</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27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816.40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38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186.01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C2C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88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186.01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F3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FDD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森林植物</w:t>
            </w:r>
          </w:p>
        </w:tc>
      </w:tr>
      <w:tr w14:paraId="7E224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672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168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69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七里山园艺场</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FB1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1231.86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25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358.67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991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358.67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CFE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31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100.00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4FB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园艺植物</w:t>
            </w:r>
          </w:p>
        </w:tc>
      </w:tr>
      <w:tr w14:paraId="009DB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0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45C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B92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五峰铺林场</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A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1988.82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5E8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8.05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DD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8.05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B7B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412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100.00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32A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竹林地</w:t>
            </w:r>
          </w:p>
        </w:tc>
      </w:tr>
      <w:tr w14:paraId="10D80B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D5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E3E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邵阳县</w:t>
            </w: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E1F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河伯岭林场</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1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4340.16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76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64.19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3CE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64.19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6AF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0.00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0E4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100.00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DA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林地植物</w:t>
            </w:r>
          </w:p>
        </w:tc>
      </w:tr>
      <w:tr w14:paraId="28CD4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230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82B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1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B6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200098.70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9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59405.47 </w:t>
            </w:r>
          </w:p>
        </w:tc>
        <w:tc>
          <w:tcPr>
            <w:tcW w:w="11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87F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41587.64 </w:t>
            </w:r>
          </w:p>
        </w:tc>
        <w:tc>
          <w:tcPr>
            <w:tcW w:w="10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0C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17817.84 </w:t>
            </w:r>
          </w:p>
        </w:tc>
        <w:tc>
          <w:tcPr>
            <w:tcW w:w="9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AD9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70.01 </w:t>
            </w:r>
          </w:p>
        </w:tc>
        <w:tc>
          <w:tcPr>
            <w:tcW w:w="12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925EE">
            <w:pPr>
              <w:rPr>
                <w:rFonts w:hint="eastAsia" w:ascii="宋体" w:hAnsi="宋体" w:eastAsia="宋体" w:cs="宋体"/>
                <w:i w:val="0"/>
                <w:iCs w:val="0"/>
                <w:color w:val="000000"/>
                <w:sz w:val="22"/>
                <w:szCs w:val="22"/>
                <w:u w:val="none"/>
              </w:rPr>
            </w:pPr>
          </w:p>
        </w:tc>
      </w:tr>
    </w:tbl>
    <w:p w14:paraId="232E36DF">
      <w:pPr>
        <w:ind w:firstLine="560" w:firstLineChars="200"/>
        <w:rPr>
          <w:rFonts w:hint="eastAsia" w:asciiTheme="minorEastAsia" w:hAnsiTheme="minorEastAsia" w:cstheme="minorEastAsia"/>
          <w:szCs w:val="28"/>
        </w:rPr>
      </w:pPr>
      <w:r>
        <w:rPr>
          <w:rFonts w:hint="eastAsia" w:asciiTheme="minorEastAsia" w:hAnsiTheme="minorEastAsia" w:cstheme="minorEastAsia"/>
          <w:szCs w:val="28"/>
        </w:rPr>
        <w:t>邵阳县</w:t>
      </w:r>
      <w:r>
        <w:rPr>
          <w:rFonts w:hint="eastAsia" w:asciiTheme="minorEastAsia" w:hAnsiTheme="minorEastAsia" w:cstheme="minorEastAsia"/>
          <w:szCs w:val="28"/>
          <w:lang w:val="en-US" w:eastAsia="zh-CN"/>
        </w:rPr>
        <w:t>分乡镇</w:t>
      </w:r>
      <w:r>
        <w:rPr>
          <w:rFonts w:hint="eastAsia" w:asciiTheme="minorEastAsia" w:hAnsiTheme="minorEastAsia" w:cstheme="minorEastAsia"/>
          <w:szCs w:val="28"/>
        </w:rPr>
        <w:t>秸秆禁烧区</w:t>
      </w:r>
      <w:r>
        <w:rPr>
          <w:rFonts w:hint="eastAsia" w:asciiTheme="minorEastAsia" w:hAnsiTheme="minorEastAsia" w:cstheme="minorEastAsia"/>
          <w:szCs w:val="28"/>
          <w:lang w:eastAsia="zh-CN"/>
        </w:rPr>
        <w:t>、</w:t>
      </w:r>
      <w:r>
        <w:rPr>
          <w:rFonts w:hint="eastAsia" w:asciiTheme="minorEastAsia" w:hAnsiTheme="minorEastAsia" w:cstheme="minorEastAsia"/>
          <w:szCs w:val="28"/>
        </w:rPr>
        <w:t>限烧区详细信息见附表 3-</w:t>
      </w:r>
      <w:r>
        <w:rPr>
          <w:rFonts w:hint="eastAsia" w:asciiTheme="minorEastAsia" w:hAnsiTheme="minorEastAsia" w:cstheme="minorEastAsia"/>
          <w:szCs w:val="28"/>
          <w:lang w:val="en-US" w:eastAsia="zh-CN"/>
        </w:rPr>
        <w:t>4</w:t>
      </w:r>
      <w:r>
        <w:rPr>
          <w:rFonts w:hint="eastAsia" w:asciiTheme="minorEastAsia" w:hAnsiTheme="minorEastAsia" w:cstheme="minorEastAsia"/>
          <w:szCs w:val="28"/>
        </w:rPr>
        <w:t>。</w:t>
      </w:r>
    </w:p>
    <w:p w14:paraId="0D4CC2E0">
      <w:pPr>
        <w:ind w:firstLine="562" w:firstLineChars="200"/>
        <w:jc w:val="center"/>
        <w:rPr>
          <w:rFonts w:hint="eastAsia" w:ascii="宋体" w:hAnsi="宋体" w:eastAsia="宋体" w:cs="宋体"/>
          <w:b/>
          <w:bCs/>
          <w:color w:val="000000"/>
          <w:kern w:val="0"/>
          <w:szCs w:val="28"/>
        </w:rPr>
      </w:pPr>
      <w:r>
        <w:rPr>
          <w:rFonts w:hint="eastAsia" w:asciiTheme="minorEastAsia" w:hAnsiTheme="minorEastAsia" w:cstheme="minorEastAsia"/>
          <w:b/>
          <w:bCs/>
          <w:color w:val="000000"/>
          <w:kern w:val="0"/>
          <w:szCs w:val="28"/>
        </w:rPr>
        <w:t>表 3-</w:t>
      </w:r>
      <w:r>
        <w:rPr>
          <w:rFonts w:hint="eastAsia" w:asciiTheme="minorEastAsia" w:hAnsiTheme="minorEastAsia" w:cstheme="minorEastAsia"/>
          <w:b/>
          <w:bCs/>
          <w:color w:val="000000"/>
          <w:kern w:val="0"/>
          <w:szCs w:val="28"/>
          <w:lang w:val="en-US" w:eastAsia="zh-CN"/>
        </w:rPr>
        <w:t>5</w:t>
      </w:r>
      <w:r>
        <w:rPr>
          <w:rFonts w:hint="eastAsia" w:ascii="宋体" w:hAnsi="宋体" w:eastAsia="宋体" w:cs="宋体"/>
          <w:b/>
          <w:bCs/>
          <w:color w:val="000000"/>
          <w:kern w:val="0"/>
          <w:szCs w:val="28"/>
        </w:rPr>
        <w:t>邵阳县</w:t>
      </w:r>
      <w:r>
        <w:rPr>
          <w:rFonts w:hint="eastAsia" w:ascii="宋体" w:hAnsi="宋体" w:eastAsia="宋体" w:cs="宋体"/>
          <w:b/>
          <w:bCs/>
          <w:color w:val="000000"/>
          <w:kern w:val="0"/>
          <w:szCs w:val="28"/>
          <w:lang w:val="en-US" w:eastAsia="zh-CN"/>
        </w:rPr>
        <w:t>分乡镇</w:t>
      </w:r>
      <w:r>
        <w:rPr>
          <w:rFonts w:hint="eastAsia" w:ascii="宋体" w:hAnsi="宋体" w:eastAsia="宋体" w:cs="宋体"/>
          <w:b/>
          <w:bCs/>
          <w:color w:val="000000"/>
          <w:kern w:val="0"/>
          <w:szCs w:val="28"/>
        </w:rPr>
        <w:t>秸秆禁限烧区统计表</w:t>
      </w:r>
    </w:p>
    <w:tbl>
      <w:tblPr>
        <w:tblW w:w="8790"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536"/>
        <w:gridCol w:w="1695"/>
        <w:gridCol w:w="1695"/>
        <w:gridCol w:w="1830"/>
        <w:gridCol w:w="2085"/>
      </w:tblGrid>
      <w:tr w14:paraId="44EC4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1485" w:type="dxa"/>
            <w:tcBorders>
              <w:top w:val="single" w:color="000000" w:sz="4" w:space="0"/>
              <w:left w:val="single" w:color="000000" w:sz="4" w:space="0"/>
              <w:bottom w:val="single" w:color="000000" w:sz="4" w:space="0"/>
              <w:right w:val="single" w:color="000000" w:sz="4" w:space="0"/>
            </w:tcBorders>
            <w:shd w:val="clear"/>
            <w:noWrap/>
            <w:vAlign w:val="center"/>
          </w:tcPr>
          <w:p w14:paraId="78FBA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乡镇名称</w:t>
            </w:r>
          </w:p>
        </w:tc>
        <w:tc>
          <w:tcPr>
            <w:tcW w:w="1695" w:type="dxa"/>
            <w:tcBorders>
              <w:top w:val="single" w:color="000000" w:sz="4" w:space="0"/>
              <w:left w:val="single" w:color="000000" w:sz="4" w:space="0"/>
              <w:bottom w:val="single" w:color="000000" w:sz="4" w:space="0"/>
              <w:right w:val="single" w:color="000000" w:sz="4" w:space="0"/>
            </w:tcBorders>
            <w:shd w:val="clear"/>
            <w:noWrap/>
            <w:vAlign w:val="center"/>
          </w:tcPr>
          <w:p w14:paraId="498A4F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村名称</w:t>
            </w:r>
          </w:p>
        </w:tc>
        <w:tc>
          <w:tcPr>
            <w:tcW w:w="1695" w:type="dxa"/>
            <w:tcBorders>
              <w:top w:val="single" w:color="000000" w:sz="4" w:space="0"/>
              <w:left w:val="single" w:color="000000" w:sz="4" w:space="0"/>
              <w:bottom w:val="single" w:color="000000" w:sz="4" w:space="0"/>
              <w:right w:val="single" w:color="000000" w:sz="4" w:space="0"/>
            </w:tcBorders>
            <w:shd w:val="clear"/>
            <w:noWrap/>
            <w:vAlign w:val="center"/>
          </w:tcPr>
          <w:p w14:paraId="1DA91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耕地面积</w:t>
            </w:r>
          </w:p>
        </w:tc>
        <w:tc>
          <w:tcPr>
            <w:tcW w:w="1830" w:type="dxa"/>
            <w:tcBorders>
              <w:top w:val="single" w:color="000000" w:sz="4" w:space="0"/>
              <w:left w:val="single" w:color="000000" w:sz="4" w:space="0"/>
              <w:bottom w:val="single" w:color="000000" w:sz="4" w:space="0"/>
              <w:right w:val="single" w:color="000000" w:sz="4" w:space="0"/>
            </w:tcBorders>
            <w:shd w:val="clear"/>
            <w:noWrap/>
            <w:vAlign w:val="center"/>
          </w:tcPr>
          <w:p w14:paraId="1E4D26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禁烧区面积</w:t>
            </w:r>
          </w:p>
        </w:tc>
        <w:tc>
          <w:tcPr>
            <w:tcW w:w="2085" w:type="dxa"/>
            <w:tcBorders>
              <w:top w:val="single" w:color="000000" w:sz="4" w:space="0"/>
              <w:left w:val="single" w:color="000000" w:sz="4" w:space="0"/>
              <w:bottom w:val="single" w:color="000000" w:sz="4" w:space="0"/>
              <w:right w:val="single" w:color="000000" w:sz="4" w:space="0"/>
            </w:tcBorders>
            <w:shd w:val="clear"/>
            <w:noWrap/>
            <w:vAlign w:val="center"/>
          </w:tcPr>
          <w:p w14:paraId="234E7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限烧区面积</w:t>
            </w:r>
          </w:p>
        </w:tc>
      </w:tr>
      <w:tr w14:paraId="7F151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4C928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白仓镇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9611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四峰社区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6B77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505C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9657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8977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D0A18B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D019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白仓社区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07BB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114.84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FDC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114.84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256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E447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43333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05A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白云村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4827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77.70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D086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77.70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9E7B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4A2A6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3809D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3F1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何伏村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8EE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76.99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6518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76.99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6A97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A4B6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25B88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0F0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坦湾村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58C0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74.77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000C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74.77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8685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D427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CE471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1824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黄连村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348F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159.33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151A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159.33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4749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ADC5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20951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3FD9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井阳村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70E6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106.75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67A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106.75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F21D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EFA4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C0C0F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C6E5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迎丰村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0705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CD16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895B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76EE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2EDCF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1D0F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石脚村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100F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94.11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115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94.11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D54C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DA04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A1086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7029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A13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97.25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AB95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97.25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B078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8DB2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67B0C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523D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鸟语村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6C8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151.14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EE70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151.14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37ED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A1D4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EE4EF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DC07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新华村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47E6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176.26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2009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66.61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AA91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109.65 </w:t>
            </w:r>
          </w:p>
        </w:tc>
      </w:tr>
      <w:tr w14:paraId="0AB6E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C4EAB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4CF7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岩塘村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2597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116.97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BC6F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3AC6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110.44 </w:t>
            </w:r>
          </w:p>
        </w:tc>
      </w:tr>
      <w:tr w14:paraId="66A53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68420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1146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观竹村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41A2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88.28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01A7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88.09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E066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0.19 </w:t>
            </w:r>
          </w:p>
        </w:tc>
      </w:tr>
      <w:tr w14:paraId="5CED8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8E094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5F81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三堆村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8227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22FC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142.38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9635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0.14 </w:t>
            </w:r>
          </w:p>
        </w:tc>
      </w:tr>
      <w:tr w14:paraId="2EEAD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EE0F7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3DC5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98C4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135.15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809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135.15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52A6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90EA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132001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68F5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夏亮村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7551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63.22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3373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62.67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C76B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0.55 </w:t>
            </w:r>
          </w:p>
        </w:tc>
      </w:tr>
      <w:tr w14:paraId="59871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D7E84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50C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37FF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142.01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60AF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142.01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FFF8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1085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7F1CB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E6C1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水津村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06B0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99.21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4FC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31F5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87.50 </w:t>
            </w:r>
          </w:p>
        </w:tc>
      </w:tr>
      <w:tr w14:paraId="52FC8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7FF0B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459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喜鹊村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6BF5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122.23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95F4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86.22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8F1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36.02 </w:t>
            </w:r>
          </w:p>
        </w:tc>
      </w:tr>
      <w:tr w14:paraId="36A33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3C7A9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01B5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竹元村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7A7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156.08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39BD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156.08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7EA3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0369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878C3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4F5E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千秋村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A4A6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216.03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7726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117.78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1A01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98.25 </w:t>
            </w:r>
          </w:p>
        </w:tc>
      </w:tr>
      <w:tr w14:paraId="67EFB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071E3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8F14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新民村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20CD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179.82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BC35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107.57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A92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72.26 </w:t>
            </w:r>
          </w:p>
        </w:tc>
      </w:tr>
      <w:tr w14:paraId="12EAF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9B01A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78A0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团结村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6CE5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140.69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D04E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140.69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92FB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EDF9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4CEBE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B8B2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8E1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265.38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64D2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265.38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03D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6106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7E518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B35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胜利村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EAB9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105.04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F44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105.04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78D1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FDC3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2992F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AF54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沙河村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7C82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138.04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FFD9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138.04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97A3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890C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3F16C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F993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塘代村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C6B0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282.98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A688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282.98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854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E53F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818882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741B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莫元村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E3A7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165.25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2781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160.88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0A84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4.37 </w:t>
            </w:r>
          </w:p>
        </w:tc>
      </w:tr>
      <w:tr w14:paraId="72903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59391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63F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三门村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5388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140.84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214D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92.70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84E6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48.14 </w:t>
            </w:r>
          </w:p>
        </w:tc>
      </w:tr>
      <w:tr w14:paraId="7CF33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A9AD5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D56B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横冲村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4B88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95.68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D013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22.54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3B27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73.15 </w:t>
            </w:r>
          </w:p>
        </w:tc>
      </w:tr>
      <w:tr w14:paraId="35F4D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714CC0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24FE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石牛村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EC18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119.72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A989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119.72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26E0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51D4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9791E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6594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93C1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195.95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C594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87.63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C38C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108.32 </w:t>
            </w:r>
          </w:p>
        </w:tc>
      </w:tr>
      <w:tr w14:paraId="5910E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192188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FBB5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双合村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AC02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95.19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F413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95.19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8733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2CEE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E4C40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A45DB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AE2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4439.20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1E5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3690.21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0AFA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748.99 </w:t>
            </w:r>
          </w:p>
        </w:tc>
      </w:tr>
      <w:tr w14:paraId="58B040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33F2A6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蔡桥乡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660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D0F5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201.36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08A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177.53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00EC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23.83 </w:t>
            </w:r>
          </w:p>
        </w:tc>
      </w:tr>
      <w:tr w14:paraId="2F338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F3C38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CE87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桂花村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5636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128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136.21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DA02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23.49 </w:t>
            </w:r>
          </w:p>
        </w:tc>
      </w:tr>
      <w:tr w14:paraId="5ED5D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EADAB3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D620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乐山村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65E6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158.61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DF5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DF98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158.61 </w:t>
            </w:r>
          </w:p>
        </w:tc>
      </w:tr>
      <w:tr w14:paraId="517B7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92549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F9E7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6090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156.06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28E1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154.45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73C5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1.61 </w:t>
            </w:r>
          </w:p>
        </w:tc>
      </w:tr>
      <w:tr w14:paraId="59A81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64030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FEF8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1E30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139.41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6750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80.18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62EC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59.24 </w:t>
            </w:r>
          </w:p>
        </w:tc>
      </w:tr>
      <w:tr w14:paraId="612B4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6C445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93BA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陡山村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A1C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82.13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DAC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56BA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67.29 </w:t>
            </w:r>
          </w:p>
        </w:tc>
      </w:tr>
      <w:tr w14:paraId="2DA12F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7A0039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DF17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70B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4535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132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2E29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A0171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A15B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龙口村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2BC7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151.52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3A75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108.70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E18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42.82 </w:t>
            </w:r>
          </w:p>
        </w:tc>
      </w:tr>
      <w:tr w14:paraId="0714C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E2D20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DB85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求山村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16D3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193.86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8634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30.43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1A8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163.43 </w:t>
            </w:r>
          </w:p>
        </w:tc>
      </w:tr>
      <w:tr w14:paraId="63144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93E2B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60AF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德云村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E304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121.37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4F3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104.30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B56F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17.07 </w:t>
            </w:r>
          </w:p>
        </w:tc>
      </w:tr>
      <w:tr w14:paraId="3BC3E7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21DF8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59F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1A98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109.47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8B0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109.47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290F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87C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B7788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C179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回龙村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023F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144.22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C406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3E48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131.14 </w:t>
            </w:r>
          </w:p>
        </w:tc>
      </w:tr>
      <w:tr w14:paraId="4042D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931AE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C1BA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柘双村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003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154.65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F66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E636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19.24 </w:t>
            </w:r>
          </w:p>
        </w:tc>
      </w:tr>
      <w:tr w14:paraId="0119C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35AAD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4E8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福林村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13C3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154.06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6060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150.01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E2DF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4.05 </w:t>
            </w:r>
          </w:p>
        </w:tc>
      </w:tr>
      <w:tr w14:paraId="2D4644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2A67F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14B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水口村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7236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119.11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7A37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115.92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610D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3.18 </w:t>
            </w:r>
          </w:p>
        </w:tc>
      </w:tr>
      <w:tr w14:paraId="6F8F8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E1CB2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45B4B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C045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2158.38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F64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1443.39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E043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715.00 </w:t>
            </w:r>
          </w:p>
        </w:tc>
      </w:tr>
      <w:tr w14:paraId="3572E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5735F4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谷洲镇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89BF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式南社区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ABC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128.67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3ADC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86.89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E896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41.78 </w:t>
            </w:r>
          </w:p>
        </w:tc>
      </w:tr>
      <w:tr w14:paraId="43FA65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35F3A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86CF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小江村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5398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95.90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9C38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83.85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AEFE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12.05 </w:t>
            </w:r>
          </w:p>
        </w:tc>
      </w:tr>
      <w:tr w14:paraId="0FEAD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74842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AB6C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谷洲村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9A72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162.77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3F9B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162.77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F0AD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7114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CB434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9EDD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古娄村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6D40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127.67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500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127.67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9FE4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3677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DEA8A7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115E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杨柏村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EB70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132.60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AEE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52.72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9F4A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79.87 </w:t>
            </w:r>
          </w:p>
        </w:tc>
      </w:tr>
      <w:tr w14:paraId="488CD3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27A22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6A42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决菜村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A5F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59.89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6B13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59.89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C9F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B4AA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3097E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9DF1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良山村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7A04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142.61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C609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142.61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87DF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5A63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CA4338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51B1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兰子村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924F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172.00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4E0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7E0E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172.00 </w:t>
            </w:r>
          </w:p>
        </w:tc>
      </w:tr>
      <w:tr w14:paraId="74A68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B4D56C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D29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长城村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1CE7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203.90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207C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47.73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A5E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156.17 </w:t>
            </w:r>
          </w:p>
        </w:tc>
      </w:tr>
      <w:tr w14:paraId="590A0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70EBB3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B19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C7F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112.06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618A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2073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108.39 </w:t>
            </w:r>
          </w:p>
        </w:tc>
      </w:tr>
      <w:tr w14:paraId="0C571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BF3804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D1D0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C953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127.65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AFD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9.15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D707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118.50 </w:t>
            </w:r>
          </w:p>
        </w:tc>
      </w:tr>
      <w:tr w14:paraId="6A8D9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A15C1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85F2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罗塘村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623E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164.65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094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56.69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B028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107.96 </w:t>
            </w:r>
          </w:p>
        </w:tc>
      </w:tr>
      <w:tr w14:paraId="35DBA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D6248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9F9C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木山村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FB3D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88.86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1C5F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71.05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3ADA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17.80 </w:t>
            </w:r>
          </w:p>
        </w:tc>
      </w:tr>
      <w:tr w14:paraId="095CB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E452B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C6F33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太平村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6A08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89.28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1504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29FE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89.28 </w:t>
            </w:r>
          </w:p>
        </w:tc>
      </w:tr>
      <w:tr w14:paraId="3283A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6ECF2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79BF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岳弄村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5C89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153.90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2E7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84.95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AB8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68.95 </w:t>
            </w:r>
          </w:p>
        </w:tc>
      </w:tr>
      <w:tr w14:paraId="0A787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6CE97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9696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929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103.70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19BC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103.70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F7D6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577CF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96ACF4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C88D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湘仁村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F95A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96.56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AFB1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72.23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CA0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24.33 </w:t>
            </w:r>
          </w:p>
        </w:tc>
      </w:tr>
      <w:tr w14:paraId="2F184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C6DC9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E2BA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CEAD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111.16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408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111.16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A47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1EDD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E6074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79B3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中坝村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FEF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168.63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B36F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39.47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7B6B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129.17 </w:t>
            </w:r>
          </w:p>
        </w:tc>
      </w:tr>
      <w:tr w14:paraId="5AD61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749730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46A1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廖乔村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CEF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192.45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569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13.25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42D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179.20 </w:t>
            </w:r>
          </w:p>
        </w:tc>
      </w:tr>
      <w:tr w14:paraId="2AFE7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14028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644FA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金银村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4FDA3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120.47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76F7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7870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120.47 </w:t>
            </w:r>
          </w:p>
        </w:tc>
      </w:tr>
      <w:tr w14:paraId="4E703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CDE9AD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366E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三联村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B60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125.89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5C2C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125.89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7669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C3CB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D31A1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3C4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清水村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9665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152.92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5B2E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118.54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5388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34.38 </w:t>
            </w:r>
          </w:p>
        </w:tc>
      </w:tr>
      <w:tr w14:paraId="76028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A0973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5DBC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湾塘村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1EC9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110.46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27EB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23.59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3D45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86.87 </w:t>
            </w:r>
          </w:p>
        </w:tc>
      </w:tr>
      <w:tr w14:paraId="6F139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CCC693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C0D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农场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076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4D1D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CE3A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2C9BE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B269D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9909B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BC55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3144.95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E09A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1597.77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E825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1547.18 </w:t>
            </w:r>
          </w:p>
        </w:tc>
      </w:tr>
      <w:tr w14:paraId="587E2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435D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河伯岭林场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265D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马头岭工区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27E6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B16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2B70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A2452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CAE65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DBE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丰木山工区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9B2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12.49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F7DE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12.49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C789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54B0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ECB0A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840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石脚楼工区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401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4.75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92E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4.75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FF0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0AE2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07AA2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D891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企坪工区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BB33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44C7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11D4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AD0F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A8B956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71B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苗竹山工区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89A2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0A8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C38A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571B3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50C7C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4273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付六冲工区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EEF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959E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6B9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CAD6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F62D7C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A59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黄付元工区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451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04F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FFBE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6E86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29D9F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023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大水元工区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4CA2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CD9C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3020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CD74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4E0D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15EDB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1134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64.19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239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64.19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292C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FC6B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193FFA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河伯乡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A4A2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源头村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E7BC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84.26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EA5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83.07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9003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1.19 </w:t>
            </w:r>
          </w:p>
        </w:tc>
      </w:tr>
      <w:tr w14:paraId="51B52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029D4C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592F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苏江村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A830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197.11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3DD3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174.72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7494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22.39 </w:t>
            </w:r>
          </w:p>
        </w:tc>
      </w:tr>
      <w:tr w14:paraId="7A5BD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2A4A7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DD98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0F93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150.42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0F8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141.60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C5F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8.82 </w:t>
            </w:r>
          </w:p>
        </w:tc>
      </w:tr>
      <w:tr w14:paraId="6D80E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D7500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212C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五皇村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D0D6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79.00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3909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79.00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AB42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6FD5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F4388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A43D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杨青村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6351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134.63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2834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43.65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FF5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90.97 </w:t>
            </w:r>
          </w:p>
        </w:tc>
      </w:tr>
      <w:tr w14:paraId="02314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572490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52E8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陈仕村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5BB7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139.86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DC03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139.86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B12F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7E4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7A055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1B90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雷公村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0E0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215.41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90A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196.61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5404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18.80 </w:t>
            </w:r>
          </w:p>
        </w:tc>
      </w:tr>
      <w:tr w14:paraId="39B93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69C6B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1BFD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井子村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1BB6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131.72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ECA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131.41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F62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0.31 </w:t>
            </w:r>
          </w:p>
        </w:tc>
      </w:tr>
      <w:tr w14:paraId="74D13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18747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3970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易仕村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B24A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138.31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FD6C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138.31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E5D6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17DD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0D19F7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AE75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上阳村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9F35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236.14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83AA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76.80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2BF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159.34 </w:t>
            </w:r>
          </w:p>
        </w:tc>
      </w:tr>
      <w:tr w14:paraId="03928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F826A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DB82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杨田村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1246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192.02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9CBA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826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62.37 </w:t>
            </w:r>
          </w:p>
        </w:tc>
      </w:tr>
      <w:tr w14:paraId="476836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9BCA4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5840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公屋村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4B83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162.46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5A51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101.52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3974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60.94 </w:t>
            </w:r>
          </w:p>
        </w:tc>
      </w:tr>
      <w:tr w14:paraId="3F97D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FFE40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BE7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城背村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E929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226.07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DEE5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226.07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F54E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10A9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D8EA0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289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永兴村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740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116.07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3E3C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116.07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DFC6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968A5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A5091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92D74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31CB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2203.47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69B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1778.33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8AA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425.14 </w:t>
            </w:r>
          </w:p>
        </w:tc>
      </w:tr>
      <w:tr w14:paraId="0E1EC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8C221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黄荆乡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43EA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四塘村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949E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231.80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BFC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204.47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BEE1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27.33 </w:t>
            </w:r>
          </w:p>
        </w:tc>
      </w:tr>
      <w:tr w14:paraId="59458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67E6A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1801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3F07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126.08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D069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85.93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26EC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40.15 </w:t>
            </w:r>
          </w:p>
        </w:tc>
      </w:tr>
      <w:tr w14:paraId="58733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38028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D343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腊树村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2BE2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128.53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193E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128.53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F61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EE12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C4558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CEB0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青山村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8DF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291.04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858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291.04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DCC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2EA5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82D80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2B5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长乡村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B04F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152.19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A259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152.19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409B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1F3B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09FEDF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777D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毛铺村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B76D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121.88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7D2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121.88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E73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DE86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C6558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299E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7F83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197.14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E4B4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89.04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002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108.10 </w:t>
            </w:r>
          </w:p>
        </w:tc>
      </w:tr>
      <w:tr w14:paraId="7E1D0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C7892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FA7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E202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208.48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5DEA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207.09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742A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1.40 </w:t>
            </w:r>
          </w:p>
        </w:tc>
      </w:tr>
      <w:tr w14:paraId="3457A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2921A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DD3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田庄村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76F9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187.23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27CF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183.18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8A76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4.06 </w:t>
            </w:r>
          </w:p>
        </w:tc>
      </w:tr>
      <w:tr w14:paraId="3CFC7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FC1D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750E7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A673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1644.36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DBBC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1463.33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8802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181.03 </w:t>
            </w:r>
          </w:p>
        </w:tc>
      </w:tr>
      <w:tr w14:paraId="1E0184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72F8D6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黄亭市镇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C65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永塘村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3890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172.79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1919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172.79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E0EF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698A7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54FE3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F4D4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烟山村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E03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169.16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2C42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169.16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C86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4D96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3FB1F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3EAC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青草村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26A9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61.10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D93F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61.10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5E71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8611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C2B04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ED63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码头村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A78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84.11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5B8D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17.37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EBD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66.74 </w:t>
            </w:r>
          </w:p>
        </w:tc>
      </w:tr>
      <w:tr w14:paraId="182A00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9DF24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4A36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兴隆村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45B8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152.10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293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119.29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8A7F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32.81 </w:t>
            </w:r>
          </w:p>
        </w:tc>
      </w:tr>
      <w:tr w14:paraId="7BB74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CDA8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5726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阳光村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45DE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93.08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46F1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31BC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93.08 </w:t>
            </w:r>
          </w:p>
        </w:tc>
      </w:tr>
      <w:tr w14:paraId="4B883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B4614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9CA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中心村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1FC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840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83.95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EB40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37.27 </w:t>
            </w:r>
          </w:p>
        </w:tc>
      </w:tr>
      <w:tr w14:paraId="252E1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BA0BE2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E0E9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茶铺村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931E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129.34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C3B3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BC39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129.34 </w:t>
            </w:r>
          </w:p>
        </w:tc>
      </w:tr>
      <w:tr w14:paraId="0B0CC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663914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26DE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E744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216.05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FD3B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216.05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90EF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AA00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E74AD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9713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金坛村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0D5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100.17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AA22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59.22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9BA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40.95 </w:t>
            </w:r>
          </w:p>
        </w:tc>
      </w:tr>
      <w:tr w14:paraId="7AEFD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15B75C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18BD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油斯村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513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125.46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19F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B5F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125.46 </w:t>
            </w:r>
          </w:p>
        </w:tc>
      </w:tr>
      <w:tr w14:paraId="68B9B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5472C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E9F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叶龙村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5340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AB2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0DB8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EA66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84CBD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DE8B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31CE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110.50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2464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108.66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0B29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1.85 </w:t>
            </w:r>
          </w:p>
        </w:tc>
      </w:tr>
      <w:tr w14:paraId="454B6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E961A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9133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步田村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B71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127.72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638B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BE85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122.19 </w:t>
            </w:r>
          </w:p>
        </w:tc>
      </w:tr>
      <w:tr w14:paraId="78D675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7E3AA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6E85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EC1F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83.92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825C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72.10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68E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11.82 </w:t>
            </w:r>
          </w:p>
        </w:tc>
      </w:tr>
      <w:tr w14:paraId="19B48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1FE77B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5EE1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A1B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104.32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F036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1AD2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104.32 </w:t>
            </w:r>
          </w:p>
        </w:tc>
      </w:tr>
      <w:tr w14:paraId="032C0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7E128E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F057F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柿山村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924B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128.87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2640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2B1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128.87 </w:t>
            </w:r>
          </w:p>
        </w:tc>
      </w:tr>
      <w:tr w14:paraId="392EA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4BE1A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A831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东冲村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2DCA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116.16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CEF6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7FDC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116.16 </w:t>
            </w:r>
          </w:p>
        </w:tc>
      </w:tr>
      <w:tr w14:paraId="259C6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37EF6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BD6F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易家村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6C7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251.11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7072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108.14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E354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142.97 </w:t>
            </w:r>
          </w:p>
        </w:tc>
      </w:tr>
      <w:tr w14:paraId="02642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C89F1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66E9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对河村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F71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183.09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D135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183.09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3698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5784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CE130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749A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望江湖村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1334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106.13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6BC3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106.13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97A4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BB8B5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38AB0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915C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657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208.63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90CB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152.94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9F6C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55.69 </w:t>
            </w:r>
          </w:p>
        </w:tc>
      </w:tr>
      <w:tr w14:paraId="15FCE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6EA3E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A28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三比田村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6021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A517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747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0F84E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543535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65A5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和平村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4EC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176.93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ECC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133.74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EF9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43.19 </w:t>
            </w:r>
          </w:p>
        </w:tc>
      </w:tr>
      <w:tr w14:paraId="740B0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C3E9E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AB3D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唯一村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359B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138.22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76FD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138.19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DEF5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0.02 </w:t>
            </w:r>
          </w:p>
        </w:tc>
      </w:tr>
      <w:tr w14:paraId="4C513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442AB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B289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红星村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5975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202.82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96BF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135.55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AED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67.27 </w:t>
            </w:r>
          </w:p>
        </w:tc>
      </w:tr>
      <w:tr w14:paraId="02973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5AAAE3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65C86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3D9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3598.88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83A4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2278.88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143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1320.00 </w:t>
            </w:r>
          </w:p>
        </w:tc>
      </w:tr>
      <w:tr w14:paraId="16449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0EC32F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金称市镇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1E6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金称市村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66F2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96.52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D0F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96.52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9EC0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EB76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DCA4CE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324F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石马村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93A6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146.43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EE76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43.08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1F14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103.35 </w:t>
            </w:r>
          </w:p>
        </w:tc>
      </w:tr>
      <w:tr w14:paraId="20209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21C6A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75A6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范街村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7126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113.81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9090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99.44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3FF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14.37 </w:t>
            </w:r>
          </w:p>
        </w:tc>
      </w:tr>
      <w:tr w14:paraId="137CB4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53708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4571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罗家村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587EC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144.81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2AF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E64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144.81 </w:t>
            </w:r>
          </w:p>
        </w:tc>
      </w:tr>
      <w:tr w14:paraId="420F4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CEEC4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11E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F495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132.08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DE56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5.93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864E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126.15 </w:t>
            </w:r>
          </w:p>
        </w:tc>
      </w:tr>
      <w:tr w14:paraId="21267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37E51F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88F1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相山村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ACDA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60.98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0509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3302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60.98 </w:t>
            </w:r>
          </w:p>
        </w:tc>
      </w:tr>
      <w:tr w14:paraId="6649A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606C28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7CDE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E25F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215.18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7B58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215.18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6707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FE41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DA7C3A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065C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96C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C3B7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CA12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130.22 </w:t>
            </w:r>
          </w:p>
        </w:tc>
      </w:tr>
      <w:tr w14:paraId="48EBC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030C6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2C6E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71E1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137.86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DCFA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DFE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137.86 </w:t>
            </w:r>
          </w:p>
        </w:tc>
      </w:tr>
      <w:tr w14:paraId="43D4D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84A25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6FCA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B93B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230.02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2DD4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F9F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230.02 </w:t>
            </w:r>
          </w:p>
        </w:tc>
      </w:tr>
      <w:tr w14:paraId="16180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545C76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1B1B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金良村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A15A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173.47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4C9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37.84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7039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135.64 </w:t>
            </w:r>
          </w:p>
        </w:tc>
      </w:tr>
      <w:tr w14:paraId="6F4B3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A4CAA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E75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金元村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94A4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535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730F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8BEE2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FEFAAF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37AE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陡石村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D2C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9B59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48.39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B9BA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86.92 </w:t>
            </w:r>
          </w:p>
        </w:tc>
      </w:tr>
      <w:tr w14:paraId="5BCBB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717AF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71F3E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涟溪村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776A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192.87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19B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C4CB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192.87 </w:t>
            </w:r>
          </w:p>
        </w:tc>
      </w:tr>
      <w:tr w14:paraId="54673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2BF2C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FBD4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社田村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29B2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342.81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0763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320.28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15E8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22.54 </w:t>
            </w:r>
          </w:p>
        </w:tc>
      </w:tr>
      <w:tr w14:paraId="372DC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39DB9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8307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秀峰村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716F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171.28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BF0C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13D0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171.28 </w:t>
            </w:r>
          </w:p>
        </w:tc>
      </w:tr>
      <w:tr w14:paraId="1B05F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600A6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8982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芙蓉村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CB40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167.56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42EF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3AF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167.56 </w:t>
            </w:r>
          </w:p>
        </w:tc>
      </w:tr>
      <w:tr w14:paraId="0C7BC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753A74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9F2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青石塘村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81D5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217.11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B74D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6BCB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196.63 </w:t>
            </w:r>
          </w:p>
        </w:tc>
      </w:tr>
      <w:tr w14:paraId="69557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84137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F07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1AC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199.16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0790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7EA4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196.64 </w:t>
            </w:r>
          </w:p>
        </w:tc>
      </w:tr>
      <w:tr w14:paraId="458DB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973C7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0D608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21E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3105.64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E2A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987.79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891F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2117.85 </w:t>
            </w:r>
          </w:p>
        </w:tc>
      </w:tr>
      <w:tr w14:paraId="7B243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5A34A6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金江乡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F0E7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金江村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A2FC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77.78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5AF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E824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77.78 </w:t>
            </w:r>
          </w:p>
        </w:tc>
      </w:tr>
      <w:tr w14:paraId="45D1E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5BF6F8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4B0A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新建村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4B33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46.81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3976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A723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46.81 </w:t>
            </w:r>
          </w:p>
        </w:tc>
      </w:tr>
      <w:tr w14:paraId="508AB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5952B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AFD5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枇杷村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099A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61.42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D332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4FC3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61.42 </w:t>
            </w:r>
          </w:p>
        </w:tc>
      </w:tr>
      <w:tr w14:paraId="6F95D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8EE1D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C2840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C740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186.01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448A6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44B5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186.01 </w:t>
            </w:r>
          </w:p>
        </w:tc>
      </w:tr>
      <w:tr w14:paraId="7D321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5134ED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九公桥镇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25F2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九公桥村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E37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213.92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004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213.92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BE79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27B5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C009C5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AAB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中合村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B940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244.86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4F3E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244.86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5C3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C656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01CD0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AE47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合意村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B7F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149.16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218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149.16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DB06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30735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24042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BA6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DCD9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151.22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B7BE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151.22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009B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ED73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83F20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7682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凤凰村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0B76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102.12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46B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102.12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7D1D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5A1A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E0C68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03B3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白竹村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16DB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222.56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424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222.56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B8BF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5878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E07062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EF37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08C7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102.97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980C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66.24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9209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36.73 </w:t>
            </w:r>
          </w:p>
        </w:tc>
      </w:tr>
      <w:tr w14:paraId="010C6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2D6FC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2E00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枫江村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8DBB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185.04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B20D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175.21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B4BF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9.83 </w:t>
            </w:r>
          </w:p>
        </w:tc>
      </w:tr>
      <w:tr w14:paraId="53575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BB27A5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BFCB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荷叶村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46F2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172.02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7CE8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172.02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1CEF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9306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1639D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E5D3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锁石村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3859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184.27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725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184.27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211E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E9AAC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123DB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3749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F423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157.41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4BD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132.68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9C0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24.73 </w:t>
            </w:r>
          </w:p>
        </w:tc>
      </w:tr>
      <w:tr w14:paraId="66D06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688E1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3C97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古塘村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09E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167.22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8921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167.22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FB3E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29620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633DF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485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人字村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0419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172.01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DB7C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172.01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37E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BFDE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1B85C3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E06C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庙山村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3794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107.91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35E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107.91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BEF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32EC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6869A1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876E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四联村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A34B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171.27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A9DC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171.27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EF43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95048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C88CF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36A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大湾村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45D0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145.80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1B32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145.80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5F24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0C48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0D178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23F8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塘洪村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4A91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FB3A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E695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72D6B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3E9C0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8D38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黎什村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B22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212.53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463E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212.53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F17E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E764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5B5185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2A5D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长排村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76B8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162.60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609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18.76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37B8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143.84 </w:t>
            </w:r>
          </w:p>
        </w:tc>
      </w:tr>
      <w:tr w14:paraId="72F31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57751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6842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F387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244.24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F6C2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244.24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387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CA50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6F643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E6D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金盆村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0B2B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207.02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4BB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160.84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841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46.18 </w:t>
            </w:r>
          </w:p>
        </w:tc>
      </w:tr>
      <w:tr w14:paraId="53100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ECFD7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38E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市林科所</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1577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96E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D179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6D02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6A253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7D5D2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9D7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3606.95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70CC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3345.63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1F8F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261.32 </w:t>
            </w:r>
          </w:p>
        </w:tc>
      </w:tr>
      <w:tr w14:paraId="250C2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02983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郦家坪镇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98BD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长沙塘村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1E30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137.34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7F66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46D5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137.34 </w:t>
            </w:r>
          </w:p>
        </w:tc>
      </w:tr>
      <w:tr w14:paraId="43F65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99A72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FF0C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郦家坪村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36DC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12AC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0D09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125.91 </w:t>
            </w:r>
          </w:p>
        </w:tc>
      </w:tr>
      <w:tr w14:paraId="5A5EB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FA058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74F81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紫塘村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915A1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98.21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B200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4388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98.21 </w:t>
            </w:r>
          </w:p>
        </w:tc>
      </w:tr>
      <w:tr w14:paraId="6302D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78672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94B2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罗汉村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3ED4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195.04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BD7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F0A2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195.04 </w:t>
            </w:r>
          </w:p>
        </w:tc>
      </w:tr>
      <w:tr w14:paraId="7B83D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6D251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C0BF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杜文村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DCA5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151.64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10B7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817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151.64 </w:t>
            </w:r>
          </w:p>
        </w:tc>
      </w:tr>
      <w:tr w14:paraId="027F8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4CB4E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505E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蔡家田村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55D0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121.58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C3C1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8E65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121.58 </w:t>
            </w:r>
          </w:p>
        </w:tc>
      </w:tr>
      <w:tr w14:paraId="6314A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71CBE8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9FDD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杉木桥村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EB19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225.63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407E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221.76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FE7A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3.87 </w:t>
            </w:r>
          </w:p>
        </w:tc>
      </w:tr>
      <w:tr w14:paraId="6E9B4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79121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DEF0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和平村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8CF6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108.00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142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79.95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54C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28.05 </w:t>
            </w:r>
          </w:p>
        </w:tc>
      </w:tr>
      <w:tr w14:paraId="68517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B1E49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C5A0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地田村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7910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138.88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C758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137.48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9A05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1.40 </w:t>
            </w:r>
          </w:p>
        </w:tc>
      </w:tr>
      <w:tr w14:paraId="16C00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2A428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E41A9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邓家岭村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7C17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171.64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1D6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AFE6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171.64 </w:t>
            </w:r>
          </w:p>
        </w:tc>
      </w:tr>
      <w:tr w14:paraId="2036B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51515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96C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A853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212.43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A202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55.45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FCD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156.98 </w:t>
            </w:r>
          </w:p>
        </w:tc>
      </w:tr>
      <w:tr w14:paraId="3B5092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43201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EC3E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大岩村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0180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108.24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B732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26A9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108.24 </w:t>
            </w:r>
          </w:p>
        </w:tc>
      </w:tr>
      <w:tr w14:paraId="0C7511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82F15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84A3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栗树庙村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BC4C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236.24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8A3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6B34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236.24 </w:t>
            </w:r>
          </w:p>
        </w:tc>
      </w:tr>
      <w:tr w14:paraId="551DA4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3D977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9A6C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水口头村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B814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159.87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F4EA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142.27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22E0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17.60 </w:t>
            </w:r>
          </w:p>
        </w:tc>
      </w:tr>
      <w:tr w14:paraId="2D08F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4B7B3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5F2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树塘村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E1FF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140.60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9C8A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CF25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140.60 </w:t>
            </w:r>
          </w:p>
        </w:tc>
      </w:tr>
      <w:tr w14:paraId="44A36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9B71A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AA0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大塘坪村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C3A6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164.61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8E60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10.34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FD64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154.27 </w:t>
            </w:r>
          </w:p>
        </w:tc>
      </w:tr>
      <w:tr w14:paraId="78547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FB4AD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E54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姚家铺村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2702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145.32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64F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54.52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9A8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90.80 </w:t>
            </w:r>
          </w:p>
        </w:tc>
      </w:tr>
      <w:tr w14:paraId="1D6D0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969B7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1A06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D4A3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87.11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F3A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5A3B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87.11 </w:t>
            </w:r>
          </w:p>
        </w:tc>
      </w:tr>
      <w:tr w14:paraId="108EE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D775B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9171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甲山村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A99B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83.99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73E8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A729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83.99 </w:t>
            </w:r>
          </w:p>
        </w:tc>
      </w:tr>
      <w:tr w14:paraId="49D30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35663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EEB1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DB6F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171.64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B07E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21D8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171.64 </w:t>
            </w:r>
          </w:p>
        </w:tc>
      </w:tr>
      <w:tr w14:paraId="50A53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2D22B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17CA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流源村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9D74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99.14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3372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8407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99.14 </w:t>
            </w:r>
          </w:p>
        </w:tc>
      </w:tr>
      <w:tr w14:paraId="6D1C6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ED2A4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1C77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城天堂村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D337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182.39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A2A3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5C1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182.39 </w:t>
            </w:r>
          </w:p>
        </w:tc>
      </w:tr>
      <w:tr w14:paraId="36B42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2964B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E6DB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横桥村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B7A7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221.57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9852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221.57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36FC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0E6C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F31F9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1ABB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九塘村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EF69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94.94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B247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332D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94.94 </w:t>
            </w:r>
          </w:p>
        </w:tc>
      </w:tr>
      <w:tr w14:paraId="308E6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C2C31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1479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03B1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43D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99.75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433E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30.92 </w:t>
            </w:r>
          </w:p>
        </w:tc>
      </w:tr>
      <w:tr w14:paraId="545BC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A373D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1AE72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368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3715.72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F5A3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1026.19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014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2689.53 </w:t>
            </w:r>
          </w:p>
        </w:tc>
      </w:tr>
      <w:tr w14:paraId="77BF4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4203AD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罗城乡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5770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罗城村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2E03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52.80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50D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52.80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9477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7808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99F24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5FB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保和村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368A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167.30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82CB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67.23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6895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100.07 </w:t>
            </w:r>
          </w:p>
        </w:tc>
      </w:tr>
      <w:tr w14:paraId="5EC50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1D24F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A512C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向家村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0EC4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68.19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F57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FD47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68.19 </w:t>
            </w:r>
          </w:p>
        </w:tc>
      </w:tr>
      <w:tr w14:paraId="610B6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7FB72C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8122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扣子铺村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CEAF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97.20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40FE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18.37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8E0C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78.83 </w:t>
            </w:r>
          </w:p>
        </w:tc>
      </w:tr>
      <w:tr w14:paraId="31028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A0F476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3214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石背村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0279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120.98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D92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6A96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120.98 </w:t>
            </w:r>
          </w:p>
        </w:tc>
      </w:tr>
      <w:tr w14:paraId="62B9A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701882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9248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7756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145.34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A744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112.46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91B0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32.88 </w:t>
            </w:r>
          </w:p>
        </w:tc>
      </w:tr>
      <w:tr w14:paraId="0EE4E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3A05FA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5FD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铜锣村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5001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121.71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CEF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121.71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7CD0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F8D3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BDA1B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96CC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淡茄子铺村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9CB7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187.37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E15B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186.49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211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0.88 </w:t>
            </w:r>
          </w:p>
        </w:tc>
      </w:tr>
      <w:tr w14:paraId="1E1DE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F75F1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209B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542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173.55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458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84.44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329E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89.11 </w:t>
            </w:r>
          </w:p>
        </w:tc>
      </w:tr>
      <w:tr w14:paraId="6DD7E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22BFC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34339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923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1134.43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9B31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643.50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F18E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490.93 </w:t>
            </w:r>
          </w:p>
        </w:tc>
      </w:tr>
      <w:tr w14:paraId="0C151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5C73B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七里山园艺场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8FCE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飞云村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8EF3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944B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F3DA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6ABB4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3C148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7733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木铎村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CDBA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100.98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B744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100.98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09CA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0930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D0D0E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837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943F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106.32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49A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106.32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83BD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3810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B123D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FC1E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全民社区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A223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35.96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634B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35.96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BEF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F655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1D014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73734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CE8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358.67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BCFF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358.67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D24A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5446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0DBDE8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塘渡口镇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A26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大岭社区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E288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65.48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E808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65.48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F522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B5DF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91732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8D11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石湾社区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2A5F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032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2E2F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7BBD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8E179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686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沙坪社区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8212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27.05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30E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27.05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39CA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8399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2E57A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C866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双合社区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9358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67.70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B6C1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67.70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F376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54B3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40166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025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桂竹山社区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9FA8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69.07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D9D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69.07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8509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E0D7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1EC67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6216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峡山社区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19D7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89.66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5C99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89.66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07D7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76090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76C0BF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3742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红石社区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8DF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E32E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793A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FB4E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1E204C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8834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梅子院村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2C21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51.06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ECD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51.06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9BD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DB95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1AD25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4615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楠木村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82B8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124.18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DC67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124.18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D9E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97BA7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E8248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CF1E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F85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129.09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62D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129.09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C40C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9654E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D81DF3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5D55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桂花村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968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122.21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81B7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122.21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781C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FD43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39F8B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6EE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书堂山村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9D82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90.64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1C77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90.64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68D2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ABB2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8B89F9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D6D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向阳村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A37F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2A26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0FD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C28A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E8452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F6F8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岐山村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9FAE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107.41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9F7D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107.41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A5A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C2A6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C5B37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F7DB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大坝村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E46C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137.64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C1E3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137.64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7BC5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3D0C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04B28A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1558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罗吉村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C72D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69.89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D11D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69.89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6F56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4568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BEC84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1273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玉田村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FD6C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76.15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7BAB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76.15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03F9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6DBB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6F734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5767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良山村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EA1F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295.19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4C5E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295.19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2A8E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5327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D4F2F4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812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榨木桥村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EF69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185.28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9212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185.28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489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DED87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BC2A7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60F8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白羊铺村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EB82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164.41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B538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164.41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0B74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AB3C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D5362F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93B0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AFDF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180.71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6363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180.71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1092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1B53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5F6676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62B5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云山村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6736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193.54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F9E2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193.54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4E4D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1647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FF694A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5B1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石虎村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CC3D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176.63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92C4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176.63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4BB9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2E28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FCCB43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B5DF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夏四村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1838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100.39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EED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100.37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C1D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0.02 </w:t>
            </w:r>
          </w:p>
        </w:tc>
      </w:tr>
      <w:tr w14:paraId="5B9A4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94AE3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A58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石牛村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C31B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DFB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BEB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6EC8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3D57B9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86B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双杏村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4F18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296.03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37A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296.03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B5C7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7A41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3A0FE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6B70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鱼鳞村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97E8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205.98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8B93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205.98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B9A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2795B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894E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E75B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5426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227.04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5C48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227.04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AB0D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64B0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0D348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5F8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石梅村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0D34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110.58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62C6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110.58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6AB4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16A8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DDCAD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4D7E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峦山村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FDF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124.76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1B9F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124.76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9DC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F7C1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2D82A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D03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霞塘云村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A5AE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139.58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C113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137.53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3205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2.05 </w:t>
            </w:r>
          </w:p>
        </w:tc>
      </w:tr>
      <w:tr w14:paraId="59C33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5DC6F0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C050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孟家塘村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2DC5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131.57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9290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131.57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23F5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39BD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1D12CB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0E7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塔水桥村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09C3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449D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818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AB8B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44257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2844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真如庵村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7598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149.90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239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149.90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FCF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0B51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89A07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FA09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雷公坝村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21CA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120.26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ABA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28.79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8AE6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91.47 </w:t>
            </w:r>
          </w:p>
        </w:tc>
      </w:tr>
      <w:tr w14:paraId="11CDC7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ADB58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272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石子江村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13D6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133.86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ECB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127.91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1B4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5.95 </w:t>
            </w:r>
          </w:p>
        </w:tc>
      </w:tr>
      <w:tr w14:paraId="19C9C1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81DDB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BA5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双江口村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0FE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127.58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035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127.58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078A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2EF0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00F8C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7A49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海棠村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76D4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207.17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390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207.17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606F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5E8B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57E693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545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坪田村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60BE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84.14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DE4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84.14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E41B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71E4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79355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994D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BCE9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175.45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D028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175.45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08CD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4EEBD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31262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44CB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塘坪村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259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244.87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00DE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244.87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6B02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1BD4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DD996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9013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檀合村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6746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141.45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63A1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141.45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F976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6BAFF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4E12FD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F87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八一街村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8F4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231.41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AB3F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231.41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636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E78A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8F98C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3086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联合村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E8E7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146.55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72D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146.55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6143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82E0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3B1B60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CD18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老木塘村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EE4A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208.44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DBFE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208.44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5175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8AA23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29832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6824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兴安村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03D9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134.40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2C5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134.40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B1CF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A784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95A7F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9EE9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蔡山团村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1A6E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118.74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C8FC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118.74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48CF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4E1C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99519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DDC6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八零七厂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02EB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8.99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FE3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8.99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8939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B264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41C30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CE6C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反封林场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9A6C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149A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FA2A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0.02 </w:t>
            </w:r>
          </w:p>
        </w:tc>
      </w:tr>
      <w:tr w14:paraId="15D93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97C5A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8C236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38EF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6511.82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DDB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6412.30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5487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99.51 </w:t>
            </w:r>
          </w:p>
        </w:tc>
      </w:tr>
      <w:tr w14:paraId="476ED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34D95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塘田市镇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E772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扎田村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254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51.38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E1F6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51.38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027C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6175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5A24F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BAE9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园艺场村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A4C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55.78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A0A8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48.06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41C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7.72 </w:t>
            </w:r>
          </w:p>
        </w:tc>
      </w:tr>
      <w:tr w14:paraId="6B2EB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F3BEFC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436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河边村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C148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278.77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F30A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278.77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9877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99D8A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5436E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3F5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512B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131.40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F784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126.90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E4AC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4.50 </w:t>
            </w:r>
          </w:p>
        </w:tc>
      </w:tr>
      <w:tr w14:paraId="0DF5D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C42FA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7C84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A2DA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113.90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9187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113.90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FF04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2337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DFD48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1936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长清村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ECE9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207.67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D95B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207.67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A4D8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3E45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09E4C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F6B9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双井村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2FCB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911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140.24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56D6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2.50 </w:t>
            </w:r>
          </w:p>
        </w:tc>
      </w:tr>
      <w:tr w14:paraId="10B0B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5A205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9A85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夏溢村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17B4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203.63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F7B9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84.82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6674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118.81 </w:t>
            </w:r>
          </w:p>
        </w:tc>
      </w:tr>
      <w:tr w14:paraId="5F643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888F54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D458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向荣村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5B06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103.50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D12F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103.50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F5E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24EE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CAE23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347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白伏村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931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79.56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C952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79.56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A668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6DEF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8C622F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9106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三角村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00B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119.39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00DF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119.39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E75C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6A8E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83620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33EA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天成村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0557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141.46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3B1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141.46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4AF4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7EA2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59FB7C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A56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石门村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CDF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6DC4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64F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3900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FAD651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10E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赤山村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7F38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72.23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8712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72.23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692C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0DCD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61A703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8EBF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三清村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FAC0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187.46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B016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187.46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E67E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1829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E5CFB2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72E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肖八村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1D1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97.15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2EB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57.20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852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39.95 </w:t>
            </w:r>
          </w:p>
        </w:tc>
      </w:tr>
      <w:tr w14:paraId="3FF07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1C8DA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3015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塘田村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DA4C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86.72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A98A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86.72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7DD7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26E0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D3A422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95A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对河村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9DB0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109.80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E4D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109.80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CB91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15B2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AB79B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7808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水西村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2300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102.38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7739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102.38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D8EB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CC70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C5FF5F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A39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沿滩村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123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101.89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668D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2AD3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86.65 </w:t>
            </w:r>
          </w:p>
        </w:tc>
      </w:tr>
      <w:tr w14:paraId="2646E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594764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8E50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B92B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161.95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0566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82.58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4686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79.37 </w:t>
            </w:r>
          </w:p>
        </w:tc>
      </w:tr>
      <w:tr w14:paraId="5989B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10DD1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7C617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55E6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2651.06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D351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2311.55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17E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339.51 </w:t>
            </w:r>
          </w:p>
        </w:tc>
      </w:tr>
      <w:tr w14:paraId="6D4AD9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2CCF43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五峰铺林场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5FB6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0144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CE72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1333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1A65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EBE29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DA05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四工区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8AFC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0E1E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E7A5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7CF5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F04C6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B3B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二工区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E90E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D26E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065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7CE3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A2088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6B05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9D6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2D5C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78CB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39C03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BC9CBB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D1F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六工区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C720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74A4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4E50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29A7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01F366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52361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5A52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8.05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788C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8.05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35F4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2C1C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3ACA7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五峰铺镇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2F7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兴峰社区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5B9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5753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14B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10A7D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A84B2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3269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龙岩社区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7B8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44.26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7B8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44.26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FDA8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C61E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09530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96E9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六里村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257A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116.16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F499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112.87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BCE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3.29 </w:t>
            </w:r>
          </w:p>
        </w:tc>
      </w:tr>
      <w:tr w14:paraId="397CF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71C7DF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773B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向联村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DEF6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87.36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24D9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65.66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544E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21.70 </w:t>
            </w:r>
          </w:p>
        </w:tc>
      </w:tr>
      <w:tr w14:paraId="6C7C9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B222C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8CD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七里村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557B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97.72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D273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97.72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F7AA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432D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7137E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ED4E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田东村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DEAC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114.67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27DA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12.68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2C4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101.99 </w:t>
            </w:r>
          </w:p>
        </w:tc>
      </w:tr>
      <w:tr w14:paraId="0D8533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DB4A75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FDF0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0ACE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106.92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B65C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1E80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106.92 </w:t>
            </w:r>
          </w:p>
        </w:tc>
      </w:tr>
      <w:tr w14:paraId="40A7BD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9E33F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8205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板桥村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1607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168.44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5490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167.52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9A8B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0.91 </w:t>
            </w:r>
          </w:p>
        </w:tc>
      </w:tr>
      <w:tr w14:paraId="2ED5F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A4642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B7BB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胡桥村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11ED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153.22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6E8B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142.09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566E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11.13 </w:t>
            </w:r>
          </w:p>
        </w:tc>
      </w:tr>
      <w:tr w14:paraId="6DAA9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5C1BE6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9924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8880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64.54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F322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34.59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753F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29.95 </w:t>
            </w:r>
          </w:p>
        </w:tc>
      </w:tr>
      <w:tr w14:paraId="56D1CF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B0B02A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D3B9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界牌村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B4B4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206.85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AC05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178.87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A15D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27.97 </w:t>
            </w:r>
          </w:p>
        </w:tc>
      </w:tr>
      <w:tr w14:paraId="3CE4C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65B13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500D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青云村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8163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81.41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F2C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52.84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78D6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28.57 </w:t>
            </w:r>
          </w:p>
        </w:tc>
      </w:tr>
      <w:tr w14:paraId="6BBD0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88122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86BF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袅旗村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31F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130.59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868F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113.11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CB2C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17.48 </w:t>
            </w:r>
          </w:p>
        </w:tc>
      </w:tr>
      <w:tr w14:paraId="3AA31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8A559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DB07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D959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F9B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122.17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B4A1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7.36 </w:t>
            </w:r>
          </w:p>
        </w:tc>
      </w:tr>
      <w:tr w14:paraId="06EB4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E3971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D7BC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B3C1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141.17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0F2F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140.81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12AD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0.36 </w:t>
            </w:r>
          </w:p>
        </w:tc>
      </w:tr>
      <w:tr w14:paraId="56404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9413FF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264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CA0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109.76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99DD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109.76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B79D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C478B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641CD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DA4B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众和村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87BC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231.87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CA5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209.13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2854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22.74 </w:t>
            </w:r>
          </w:p>
        </w:tc>
      </w:tr>
      <w:tr w14:paraId="1392D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85165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C0E7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塘诗村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2890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176.15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F96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130.75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18DF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45.41 </w:t>
            </w:r>
          </w:p>
        </w:tc>
      </w:tr>
      <w:tr w14:paraId="65101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CE3C3F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FABF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燕塘村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8E23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96.03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E8E0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96.03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A69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56BF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F2D8E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CB2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刘家村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D8E3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EB64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1E0A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28D8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0FEA63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3D24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4D14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95.39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B9CE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95.39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AC93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F69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28F8A5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8BF6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马草村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828B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128.51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3E6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128.51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8FB4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48291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5A26A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4D70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仁湾村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4203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145.52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BE0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145.52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50D2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E8A8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2FD522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6F64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冷水村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26840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187.13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FAC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4C1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187.13 </w:t>
            </w:r>
          </w:p>
        </w:tc>
      </w:tr>
      <w:tr w14:paraId="385BA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5FDCBB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DA57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东井村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0652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74.19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5854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12.84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A274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61.35 </w:t>
            </w:r>
          </w:p>
        </w:tc>
      </w:tr>
      <w:tr w14:paraId="571D2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B438E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C0DC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大户村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CBBB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123.52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CD3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95.10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155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28.42 </w:t>
            </w:r>
          </w:p>
        </w:tc>
      </w:tr>
      <w:tr w14:paraId="16EDF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78C18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5BC4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驻马村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A8EC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375A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92.16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41C9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19.97 </w:t>
            </w:r>
          </w:p>
        </w:tc>
      </w:tr>
      <w:tr w14:paraId="20445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AB702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6F5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利群村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42F8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98.12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D64B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98.12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E14F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7BC9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D2FD8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846C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排桥村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B61E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125.60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DBF5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121.30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DA8A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4.30 </w:t>
            </w:r>
          </w:p>
        </w:tc>
      </w:tr>
      <w:tr w14:paraId="05C56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07D05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FEC3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陈保村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91E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185.32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D109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B0B8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185.32 </w:t>
            </w:r>
          </w:p>
        </w:tc>
      </w:tr>
      <w:tr w14:paraId="76B07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96A5F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9809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留旗村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AC345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136.33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941B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710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136.33 </w:t>
            </w:r>
          </w:p>
        </w:tc>
      </w:tr>
      <w:tr w14:paraId="60DA5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E84171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B55B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羊古村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67BE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192.65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8B3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112.97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0D2E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79.68 </w:t>
            </w:r>
          </w:p>
        </w:tc>
      </w:tr>
      <w:tr w14:paraId="066B4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D8C6BA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CC30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30B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117.99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49FE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117.99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73CE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F062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7BDEF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8ACDC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高霞山村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D890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157.03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D01A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49A7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157.03 </w:t>
            </w:r>
          </w:p>
        </w:tc>
      </w:tr>
      <w:tr w14:paraId="2D25C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55BDC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AC04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荷叶塘村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0B2E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100.34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DC2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64.91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4B9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35.44 </w:t>
            </w:r>
          </w:p>
        </w:tc>
      </w:tr>
      <w:tr w14:paraId="23505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25DEDE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5193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E5AD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235.00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0F22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104.15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76CF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130.85 </w:t>
            </w:r>
          </w:p>
        </w:tc>
      </w:tr>
      <w:tr w14:paraId="6B3C2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722119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389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0FF3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158.04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A4CE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158.04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6011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CCDF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D27F9B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0F57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黄旗村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6A7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68F4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D47D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106.59 </w:t>
            </w:r>
          </w:p>
        </w:tc>
      </w:tr>
      <w:tr w14:paraId="5BF99F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3A8E1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AC24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8D07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170.47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1878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C93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168.54 </w:t>
            </w:r>
          </w:p>
        </w:tc>
      </w:tr>
      <w:tr w14:paraId="011B5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2C3BE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7A50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白竹村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CF64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184.11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C2D9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40.07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2091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144.04 </w:t>
            </w:r>
          </w:p>
        </w:tc>
      </w:tr>
      <w:tr w14:paraId="44D47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FA21DD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5BF0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楠木村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5774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174.80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5341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94.18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66CA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80.62 </w:t>
            </w:r>
          </w:p>
        </w:tc>
      </w:tr>
      <w:tr w14:paraId="11447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20AAF4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8CC77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CCA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5410.75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D8E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3459.37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B88D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1951.38 </w:t>
            </w:r>
          </w:p>
        </w:tc>
      </w:tr>
      <w:tr w14:paraId="67D6B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38E877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下花桥镇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A07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储英居委会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51CA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47.53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498F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47.53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D37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406C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B4F8A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76E0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黄土坝村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0B08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58.17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ECA8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58.17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AA27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1B94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EE9CD5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3FF2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徐家桥村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1747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131.58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80FD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131.58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C3F2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61C81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BDB1B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D2F4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9DA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183.06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689B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183.06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E8FF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E734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8719B8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304A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岩头村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04E4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94.71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EA62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94.71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93C4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2394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14AF56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3349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新亭村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546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92CB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68.65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C4FB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91.07 </w:t>
            </w:r>
          </w:p>
        </w:tc>
      </w:tr>
      <w:tr w14:paraId="5581B6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5BD696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D6F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五里村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623A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164.11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A0F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163.53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D60D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0.59 </w:t>
            </w:r>
          </w:p>
        </w:tc>
      </w:tr>
      <w:tr w14:paraId="5F867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C49FE9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297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大观村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1DD6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160.01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DAB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144.71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0A38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15.29 </w:t>
            </w:r>
          </w:p>
        </w:tc>
      </w:tr>
      <w:tr w14:paraId="71DE3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3BEF3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DEA9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B804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137.31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0A48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118.60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A8A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18.71 </w:t>
            </w:r>
          </w:p>
        </w:tc>
      </w:tr>
      <w:tr w14:paraId="51C01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2562A8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AE4B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双联村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F05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195.66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C047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186.07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1C15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9.60 </w:t>
            </w:r>
          </w:p>
        </w:tc>
      </w:tr>
      <w:tr w14:paraId="02BD5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453459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F6E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苏铺村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5A46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115.35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5294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115.35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32EC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DBA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12CA6C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0B0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和平村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77FA4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135.45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065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1452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135.45 </w:t>
            </w:r>
          </w:p>
        </w:tc>
      </w:tr>
      <w:tr w14:paraId="7B2BA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B6B440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EBA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两路村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2047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99.69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EBFE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99.69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99E8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F844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4C2433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EEF7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岩门村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0EE7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209.25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0415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209.25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956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918A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5873C3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2B7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田中村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37F8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203.99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133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90.71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65A2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113.28 </w:t>
            </w:r>
          </w:p>
        </w:tc>
      </w:tr>
      <w:tr w14:paraId="6F717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245B2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DAC5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78FC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200.62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2749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166.76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D73F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33.86 </w:t>
            </w:r>
          </w:p>
        </w:tc>
      </w:tr>
      <w:tr w14:paraId="6424C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9C1A95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7F6A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堡口村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EF68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103.58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00C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59.54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0013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44.04 </w:t>
            </w:r>
          </w:p>
        </w:tc>
      </w:tr>
      <w:tr w14:paraId="2B04F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4A6BEA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0C2E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又兴村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787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163.24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52FC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96.31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8FC5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66.93 </w:t>
            </w:r>
          </w:p>
        </w:tc>
      </w:tr>
      <w:tr w14:paraId="3ADAC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8FA98E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6D18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616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199.64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0067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95.95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8B1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103.69 </w:t>
            </w:r>
          </w:p>
        </w:tc>
      </w:tr>
      <w:tr w14:paraId="39CC3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51B11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F05B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正兴村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B19A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123.55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AB26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74.91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729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48.64 </w:t>
            </w:r>
          </w:p>
        </w:tc>
      </w:tr>
      <w:tr w14:paraId="2B21B5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F0EA40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2F2F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9E3B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115.69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2560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115.69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4029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2417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96EF47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4E2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周家村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71A6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169.45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9B93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169.45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0B75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DC5A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F465B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A7973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1E83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3171.37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622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2490.24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A696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681.13 </w:t>
            </w:r>
          </w:p>
        </w:tc>
      </w:tr>
      <w:tr w14:paraId="09712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378E08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小溪市镇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FACE5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小溪市居委会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9286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128.11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E8DC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292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128.11 </w:t>
            </w:r>
          </w:p>
        </w:tc>
      </w:tr>
      <w:tr w14:paraId="24BF6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4692F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B00B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河沿村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8D8C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9A7B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57.36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8A7E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78.12 </w:t>
            </w:r>
          </w:p>
        </w:tc>
      </w:tr>
      <w:tr w14:paraId="6ACCA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8BBF22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5D2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田心村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4E6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153.68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A5B3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33.20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1712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120.47 </w:t>
            </w:r>
          </w:p>
        </w:tc>
      </w:tr>
      <w:tr w14:paraId="6C9FF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8D46A0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CC61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山田村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27DF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204.72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1027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178.25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DD6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26.48 </w:t>
            </w:r>
          </w:p>
        </w:tc>
      </w:tr>
      <w:tr w14:paraId="2E9B5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6949F6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D1DF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白毛塘村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0508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294.23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0609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6149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294.23 </w:t>
            </w:r>
          </w:p>
        </w:tc>
      </w:tr>
      <w:tr w14:paraId="76AF9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BF5255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1F7B9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龙井村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C763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258.08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F78D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B46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258.08 </w:t>
            </w:r>
          </w:p>
        </w:tc>
      </w:tr>
      <w:tr w14:paraId="3BB35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A450F5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DF49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梅洲村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40C6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A1D9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112.66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51C3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BE59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66B9C3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B2C3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岩门村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A015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103.77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05F0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14.61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D0F1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89.16 </w:t>
            </w:r>
          </w:p>
        </w:tc>
      </w:tr>
      <w:tr w14:paraId="5B426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31D00C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428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川门村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A06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194.65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CCD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194.65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7CB9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EA9E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3247BE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08BC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清水村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A6C4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152.52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06CD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99.74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0D2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52.78 </w:t>
            </w:r>
          </w:p>
        </w:tc>
      </w:tr>
      <w:tr w14:paraId="46C12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360E7B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E62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桥头村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2CF8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148.90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612C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E795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148.90 </w:t>
            </w:r>
          </w:p>
        </w:tc>
      </w:tr>
      <w:tr w14:paraId="00C56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0C9C8D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FC1D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跳石村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2D5AA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147.37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08C5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4AB3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147.37 </w:t>
            </w:r>
          </w:p>
        </w:tc>
      </w:tr>
      <w:tr w14:paraId="6F2AA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40A96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D8253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文昌村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3596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264.95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93E6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F373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264.95 </w:t>
            </w:r>
          </w:p>
        </w:tc>
      </w:tr>
      <w:tr w14:paraId="7CC818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EE99CD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27A7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活水村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1FED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124.61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0020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117.43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886B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7.18 </w:t>
            </w:r>
          </w:p>
        </w:tc>
      </w:tr>
      <w:tr w14:paraId="16C3F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E5BA5B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D999E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C223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2423.74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50C8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807.90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444B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1615.83 </w:t>
            </w:r>
          </w:p>
        </w:tc>
      </w:tr>
      <w:tr w14:paraId="0D9FD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53FFC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岩口铺镇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8798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岩口铺村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E229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148.26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986D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148.26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F437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E39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504E9D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8591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丰江村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E009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112.97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58E0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64.14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783E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48.83 </w:t>
            </w:r>
          </w:p>
        </w:tc>
      </w:tr>
      <w:tr w14:paraId="72EC2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E7BCDC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30D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油麻井村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5285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181.85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605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181.85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EB0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890F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50760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41ED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石脚村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DC1F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83.02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029E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83.02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6057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E2E3A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ACE3D6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42C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吊井楼村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6414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123.28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2BF4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92.37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CA3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30.91 </w:t>
            </w:r>
          </w:p>
        </w:tc>
      </w:tr>
      <w:tr w14:paraId="6D35C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50E987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7233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梅冲村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C2E3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163.74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A98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163.74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117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6C9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F342C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3404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石滩村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79E2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146.98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77A3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117.92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1EAB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29.05 </w:t>
            </w:r>
          </w:p>
        </w:tc>
      </w:tr>
      <w:tr w14:paraId="5BC15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924C3A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5A3D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皇安寺村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899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170.68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0E8C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170.68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D919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5B05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DF96C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4ABC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A146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3311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5A64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7F97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48DA5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18B2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油草桥村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06FB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144.85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CFB1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142.85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961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2.00 </w:t>
            </w:r>
          </w:p>
        </w:tc>
      </w:tr>
      <w:tr w14:paraId="1EF58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D0D50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5E9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5EBB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117.20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493A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117.04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7D0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0.16 </w:t>
            </w:r>
          </w:p>
        </w:tc>
      </w:tr>
      <w:tr w14:paraId="43113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E716B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947F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新梅岭村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DEA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208.03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E099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208.03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5E49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EE6B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03D5AE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E00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云赵村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421D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218.54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C953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46.35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9519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172.19 </w:t>
            </w:r>
          </w:p>
        </w:tc>
      </w:tr>
      <w:tr w14:paraId="6D3A38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5A9088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CBF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金水村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CCD9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159.29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EE0A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159.29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4E5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2F17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F2DBDD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2E7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兴隆村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460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187.70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8738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45.56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AAA6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142.14 </w:t>
            </w:r>
          </w:p>
        </w:tc>
      </w:tr>
      <w:tr w14:paraId="07256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CDE6C3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E603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E37C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129.01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6F64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129.01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52FD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6D12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D01880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493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如意村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880D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202.50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881C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202.50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534A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C8497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E34C2E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62D9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双江水库</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C41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3657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5905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3F5A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9CE4F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9B80C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E8F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2629.82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159D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2204.54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1AE6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425.28 </w:t>
            </w:r>
          </w:p>
        </w:tc>
      </w:tr>
      <w:tr w14:paraId="5A5B2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0078C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长乐乡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8D05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南花村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F104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156.52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66CE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129.61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B15C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26.91 </w:t>
            </w:r>
          </w:p>
        </w:tc>
      </w:tr>
      <w:tr w14:paraId="68E921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DAAA3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769D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大联村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64A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120.13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CA6E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85AC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120.13 </w:t>
            </w:r>
          </w:p>
        </w:tc>
      </w:tr>
      <w:tr w14:paraId="1A70C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875193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AEAE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天子村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10DE0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153.13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DAAA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E431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153.13 </w:t>
            </w:r>
          </w:p>
        </w:tc>
      </w:tr>
      <w:tr w14:paraId="7AA0F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3D9004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9DE0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渡头村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CD6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94.33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4162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94.33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7616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BDA5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CB3404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C37D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江东村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FB94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195.75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FC47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195.75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3A33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406E3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FF22A6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EF54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石边村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4959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133.22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23F5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133.22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52F2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4D01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75E76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3AFE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花江村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742F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96D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121.03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899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5734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111523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0507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伏溪村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5CDF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148.27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556F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148.27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E2E1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81D7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3583CD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AE23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排头村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1132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135.96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2E34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120.95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FC8C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15.01 </w:t>
            </w:r>
          </w:p>
        </w:tc>
      </w:tr>
      <w:tr w14:paraId="2C6A9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36837D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7609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塔桥联合村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40B0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382.54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E110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378.49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0AA4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4.05 </w:t>
            </w:r>
          </w:p>
        </w:tc>
      </w:tr>
      <w:tr w14:paraId="69326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1751BF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638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FF48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210.58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7C2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18C8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187.91 </w:t>
            </w:r>
          </w:p>
        </w:tc>
      </w:tr>
      <w:tr w14:paraId="333EB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A48666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AEC0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5E78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243.78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7FE4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0.48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D8C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243.30 </w:t>
            </w:r>
          </w:p>
        </w:tc>
      </w:tr>
      <w:tr w14:paraId="457A9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F62031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FC322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3B21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2095.23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D49F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1344.80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0014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750.43 </w:t>
            </w:r>
          </w:p>
        </w:tc>
      </w:tr>
      <w:tr w14:paraId="1EA63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4233F5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长阳铺镇</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60C0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长阳铺村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1D98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299.79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60C1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299.79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F626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456D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82D7DF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6282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龙湾岭村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E469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132.21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501F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132.21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4E1D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F424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268A2D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626B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DC7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236.35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7BDF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206.44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F2B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29.91 </w:t>
            </w:r>
          </w:p>
        </w:tc>
      </w:tr>
      <w:tr w14:paraId="3532F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C6A865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DEE4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新立村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1E13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104.12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9CE4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9.80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F061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94.32 </w:t>
            </w:r>
          </w:p>
        </w:tc>
      </w:tr>
      <w:tr w14:paraId="1A231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6368702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6BC8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竹塘村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7A85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105.82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D32A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105.82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7605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A509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BB995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49B4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新铺垅村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EAA7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48.45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CF53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48.45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7569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7455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7E49CC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B18E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白江村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5720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130.72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2BF9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75.50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ED44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55.23 </w:t>
            </w:r>
          </w:p>
        </w:tc>
      </w:tr>
      <w:tr w14:paraId="69B65F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FBEC82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D4F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杉木岭村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024A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260.64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A02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260.64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B223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10B1D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92AC56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4BE6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高巩桥村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F8AF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157.65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B048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157.65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F9D6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98AA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7CA98E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F146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黄田坪村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C601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135.28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047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84.99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A396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50.29 </w:t>
            </w:r>
          </w:p>
        </w:tc>
      </w:tr>
      <w:tr w14:paraId="1D0C37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2765DA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DF05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秋田村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E9EA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146.02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7F1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146.02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5C0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338A5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B069BA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EA0B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梽木山村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317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218.23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24E8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218.23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7865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5CB00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21F68F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FBA8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石塘村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A71E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147.18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06B3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147.18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17E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2DBB61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6ABB11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ED3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石湾村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4BA6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201.08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16E1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201.08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A191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0CEC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C1E898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B01D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银仙桥村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08D7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280.11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6264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72.27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CB1D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207.84 </w:t>
            </w:r>
          </w:p>
        </w:tc>
      </w:tr>
      <w:tr w14:paraId="6C029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A4EEC5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5E8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湴田村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AA4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300.35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049A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300.35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45D8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BC8C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43F40A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9FDC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观云村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1284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133.91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38B5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133.91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E335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07A07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61AC3F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AF2B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大院村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CB6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147.58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EC9F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147.56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DBE2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0.02 </w:t>
            </w:r>
          </w:p>
        </w:tc>
      </w:tr>
      <w:tr w14:paraId="7CE69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68DEBE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8B6A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合心村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A74E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193.50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2F94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193.50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6111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6C4C3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749BBC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350C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长阳铺镇林场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CA29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2CBF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0.18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B6D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r>
      <w:tr w14:paraId="7FE2B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1E52B8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1EC7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元安岭茶场</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9C6B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2.17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F0A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BC8A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0.16 </w:t>
            </w:r>
          </w:p>
        </w:tc>
      </w:tr>
      <w:tr w14:paraId="3746B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2AEDFD6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AF226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310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3381.35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C9FB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2943.58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9FF8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437.77 </w:t>
            </w:r>
          </w:p>
        </w:tc>
      </w:tr>
      <w:tr w14:paraId="4A51A6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3FDC3C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诸甲亭乡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9F7A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江下村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33E8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115.24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9FA1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112.03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CE23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3.21 </w:t>
            </w:r>
          </w:p>
        </w:tc>
      </w:tr>
      <w:tr w14:paraId="181EF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51CF50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58A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洪庙村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C10F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141.31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CF9E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69.02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018A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72.29 </w:t>
            </w:r>
          </w:p>
        </w:tc>
      </w:tr>
      <w:tr w14:paraId="22AD3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B8457F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B6BB1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龙井村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B1C9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137.25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7B3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C7D5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137.25 </w:t>
            </w:r>
          </w:p>
        </w:tc>
      </w:tr>
      <w:tr w14:paraId="200DE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9804E7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50DD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神山村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4CE4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204.40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4B7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84BD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204.40 </w:t>
            </w:r>
          </w:p>
        </w:tc>
      </w:tr>
      <w:tr w14:paraId="1108E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0991D46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7B0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新安村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02E8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154.60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2E07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88.40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AA80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66.21 </w:t>
            </w:r>
          </w:p>
        </w:tc>
      </w:tr>
      <w:tr w14:paraId="7D3E8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17082C6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D452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诸甲亭村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6F8A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184.90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65F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168.72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630A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16.18 </w:t>
            </w:r>
          </w:p>
        </w:tc>
      </w:tr>
      <w:tr w14:paraId="16B99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52D17F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7BCC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祖阳村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385D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266.15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830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896F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260.68 </w:t>
            </w:r>
          </w:p>
        </w:tc>
      </w:tr>
      <w:tr w14:paraId="3F10A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0442CA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C3DD1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中山村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6B24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111.69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A9E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88.94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CA0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22.74 </w:t>
            </w:r>
          </w:p>
        </w:tc>
      </w:tr>
      <w:tr w14:paraId="6B80C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E954A5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6C84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三杰村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67D4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172.10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C4C6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142.67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9DCA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29.44 </w:t>
            </w:r>
          </w:p>
        </w:tc>
      </w:tr>
      <w:tr w14:paraId="55A10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4A9A6D7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1812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黑冲水库</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77F4F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5.22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1E743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A259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5.22 </w:t>
            </w:r>
          </w:p>
        </w:tc>
      </w:tr>
      <w:tr w14:paraId="32C54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E89767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CD6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长丰村</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8D79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268.55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8ADE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252.16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D793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16.39 </w:t>
            </w:r>
          </w:p>
        </w:tc>
      </w:tr>
      <w:tr w14:paraId="3C0C2D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7CEBB43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D49D6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70D5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1761.42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0411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927.41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D40D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834.01 </w:t>
            </w:r>
          </w:p>
        </w:tc>
      </w:tr>
      <w:tr w14:paraId="76760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0" w:type="auto"/>
            <w:gridSpan w:val="2"/>
            <w:tcBorders>
              <w:top w:val="single" w:color="000000" w:sz="4" w:space="0"/>
              <w:left w:val="single" w:color="000000" w:sz="4" w:space="0"/>
              <w:bottom w:val="single" w:color="000000" w:sz="4" w:space="0"/>
              <w:right w:val="single" w:color="000000" w:sz="4" w:space="0"/>
            </w:tcBorders>
            <w:shd w:val="clear"/>
            <w:noWrap/>
            <w:vAlign w:val="center"/>
          </w:tcPr>
          <w:p w14:paraId="107F46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134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59405.47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69C0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41587.64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6336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17817.84 </w:t>
            </w:r>
          </w:p>
        </w:tc>
      </w:tr>
    </w:tbl>
    <w:p w14:paraId="073D26CA">
      <w:pPr>
        <w:ind w:firstLine="562" w:firstLineChars="200"/>
        <w:jc w:val="center"/>
        <w:rPr>
          <w:rFonts w:hint="eastAsia" w:ascii="宋体" w:hAnsi="宋体" w:eastAsia="宋体" w:cs="宋体"/>
          <w:b/>
          <w:bCs/>
          <w:color w:val="000000"/>
          <w:kern w:val="0"/>
          <w:szCs w:val="28"/>
        </w:rPr>
      </w:pPr>
    </w:p>
    <w:p w14:paraId="09D8889C">
      <w:pPr>
        <w:ind w:firstLine="560" w:firstLineChars="200"/>
        <w:rPr>
          <w:rFonts w:hint="eastAsia" w:asciiTheme="minorEastAsia" w:hAnsiTheme="minorEastAsia" w:cstheme="minorEastAsia"/>
        </w:rPr>
      </w:pPr>
      <w:r>
        <w:rPr>
          <w:rFonts w:hint="eastAsia" w:asciiTheme="minorEastAsia" w:hAnsiTheme="minorEastAsia" w:cstheme="minorEastAsia"/>
        </w:rPr>
        <w:t>邵阳县秸秆禁烧区总面积为</w:t>
      </w:r>
      <w:r>
        <w:rPr>
          <w:rFonts w:hint="eastAsia" w:asciiTheme="minorEastAsia" w:hAnsiTheme="minorEastAsia" w:cstheme="minorEastAsia"/>
          <w:lang w:val="en-US" w:eastAsia="zh-CN"/>
        </w:rPr>
        <w:t>41587.64</w:t>
      </w:r>
      <w:r>
        <w:rPr>
          <w:rFonts w:hint="eastAsia" w:asciiTheme="minorEastAsia" w:hAnsiTheme="minorEastAsia" w:cstheme="minorEastAsia"/>
        </w:rPr>
        <w:t>公顷，</w:t>
      </w:r>
      <w:r>
        <w:rPr>
          <w:rFonts w:hint="eastAsia" w:asciiTheme="minorEastAsia" w:hAnsiTheme="minorEastAsia" w:cstheme="minorEastAsia"/>
          <w:color w:val="000000"/>
          <w:kern w:val="0"/>
          <w:szCs w:val="28"/>
        </w:rPr>
        <w:t>占耕地面积比例71.</w:t>
      </w:r>
      <w:r>
        <w:rPr>
          <w:rFonts w:hint="eastAsia" w:asciiTheme="minorEastAsia" w:hAnsiTheme="minorEastAsia" w:cstheme="minorEastAsia"/>
          <w:color w:val="000000"/>
          <w:kern w:val="0"/>
          <w:szCs w:val="28"/>
          <w:lang w:val="en-US" w:eastAsia="zh-CN"/>
        </w:rPr>
        <w:t>01</w:t>
      </w:r>
      <w:r>
        <w:rPr>
          <w:rFonts w:hint="eastAsia" w:asciiTheme="minorEastAsia" w:hAnsiTheme="minorEastAsia" w:cstheme="minorEastAsia"/>
          <w:color w:val="000000"/>
          <w:kern w:val="0"/>
          <w:szCs w:val="28"/>
        </w:rPr>
        <w:t>%</w:t>
      </w:r>
      <w:r>
        <w:rPr>
          <w:rFonts w:hint="eastAsia" w:asciiTheme="minorEastAsia" w:hAnsiTheme="minorEastAsia" w:cstheme="minorEastAsia"/>
        </w:rPr>
        <w:t>。</w:t>
      </w:r>
    </w:p>
    <w:p w14:paraId="1B746E45">
      <w:pPr>
        <w:ind w:firstLine="560" w:firstLineChars="200"/>
        <w:rPr>
          <w:rFonts w:hint="eastAsia" w:asciiTheme="minorEastAsia" w:hAnsiTheme="minorEastAsia" w:cstheme="minorEastAsia"/>
        </w:rPr>
      </w:pPr>
    </w:p>
    <w:p w14:paraId="4F09EE28">
      <w:pPr>
        <w:pStyle w:val="30"/>
        <w:ind w:firstLine="0" w:firstLineChars="0"/>
        <w:rPr>
          <w:rFonts w:hint="eastAsia" w:ascii="黑体" w:hAnsi="黑体" w:eastAsia="黑体"/>
        </w:rPr>
      </w:pPr>
      <w:r>
        <w:rPr>
          <w:rFonts w:hint="eastAsia" w:ascii="黑体" w:hAnsi="黑体" w:eastAsia="黑体"/>
        </w:rPr>
        <w:t>附图1</w:t>
      </w:r>
    </w:p>
    <w:p w14:paraId="6ED3E307">
      <w:pPr>
        <w:ind w:firstLine="560" w:firstLineChars="200"/>
        <w:jc w:val="center"/>
        <w:rPr>
          <w:rFonts w:hint="eastAsia" w:ascii="黑体" w:hAnsi="黑体" w:eastAsia="黑体"/>
          <w:sz w:val="28"/>
          <w:szCs w:val="24"/>
        </w:rPr>
      </w:pPr>
      <w:r>
        <w:rPr>
          <w:rFonts w:hint="eastAsia" w:ascii="黑体" w:hAnsi="黑体" w:eastAsia="黑体"/>
          <w:lang w:eastAsia="zh-CN"/>
        </w:rPr>
        <w:drawing>
          <wp:inline distT="0" distB="0" distL="114300" distR="114300">
            <wp:extent cx="5396865" cy="3818890"/>
            <wp:effectExtent l="0" t="0" r="13335" b="10160"/>
            <wp:docPr id="1" name="图片 1" descr="邵阳县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邵阳县秸秆禁烧区、限烧区耕地分布图"/>
                    <pic:cNvPicPr>
                      <a:picLocks noChangeAspect="1"/>
                    </pic:cNvPicPr>
                  </pic:nvPicPr>
                  <pic:blipFill>
                    <a:blip r:embed="rId10"/>
                    <a:stretch>
                      <a:fillRect/>
                    </a:stretch>
                  </pic:blipFill>
                  <pic:spPr>
                    <a:xfrm>
                      <a:off x="0" y="0"/>
                      <a:ext cx="5396865" cy="3818890"/>
                    </a:xfrm>
                    <a:prstGeom prst="rect">
                      <a:avLst/>
                    </a:prstGeom>
                  </pic:spPr>
                </pic:pic>
              </a:graphicData>
            </a:graphic>
          </wp:inline>
        </w:drawing>
      </w:r>
      <w:r>
        <w:rPr>
          <w:rFonts w:hint="eastAsia" w:ascii="黑体" w:hAnsi="黑体" w:eastAsia="黑体"/>
          <w:sz w:val="28"/>
          <w:szCs w:val="24"/>
        </w:rPr>
        <w:t>图1</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rPr>
        <w:t>秸秆禁烧区、限烧区耕地分布图</w:t>
      </w:r>
    </w:p>
    <w:p w14:paraId="14C01205">
      <w:pPr>
        <w:pStyle w:val="30"/>
        <w:ind w:firstLine="0" w:firstLineChars="0"/>
        <w:rPr>
          <w:rFonts w:hint="eastAsia" w:ascii="黑体" w:hAnsi="黑体" w:eastAsia="黑体"/>
          <w:lang w:eastAsia="zh-CN"/>
        </w:rPr>
      </w:pPr>
      <w:r>
        <w:rPr>
          <w:rFonts w:hint="eastAsia" w:ascii="黑体" w:hAnsi="黑体" w:eastAsia="黑体"/>
        </w:rPr>
        <w:t>附图</w:t>
      </w:r>
      <w:r>
        <w:rPr>
          <w:rFonts w:hint="eastAsia" w:ascii="黑体" w:hAnsi="黑体" w:eastAsia="黑体"/>
          <w:lang w:val="en-US" w:eastAsia="zh-CN"/>
        </w:rPr>
        <w:t>2</w:t>
      </w:r>
    </w:p>
    <w:p w14:paraId="69505EEE">
      <w:pPr>
        <w:pStyle w:val="30"/>
        <w:ind w:firstLine="480" w:firstLineChars="150"/>
        <w:rPr>
          <w:rFonts w:hint="eastAsia" w:eastAsia="仿宋_GB2312"/>
          <w:lang w:eastAsia="zh-CN"/>
        </w:rPr>
      </w:pPr>
      <w:r>
        <w:rPr>
          <w:rFonts w:hint="eastAsia"/>
        </w:rPr>
        <w:br w:type="page"/>
      </w:r>
      <w:r>
        <w:rPr>
          <w:rFonts w:hint="eastAsia" w:eastAsia="仿宋_GB2312"/>
          <w:lang w:eastAsia="zh-CN"/>
        </w:rPr>
        <w:drawing>
          <wp:inline distT="0" distB="0" distL="114300" distR="114300">
            <wp:extent cx="5396865" cy="3818890"/>
            <wp:effectExtent l="0" t="0" r="13335" b="10160"/>
            <wp:docPr id="4" name="图片 4" descr="塘渡口镇秸秆禁烧区划定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塘渡口镇秸秆禁烧区划定乡镇"/>
                    <pic:cNvPicPr>
                      <a:picLocks noChangeAspect="1"/>
                    </pic:cNvPicPr>
                  </pic:nvPicPr>
                  <pic:blipFill>
                    <a:blip r:embed="rId11"/>
                    <a:stretch>
                      <a:fillRect/>
                    </a:stretch>
                  </pic:blipFill>
                  <pic:spPr>
                    <a:xfrm>
                      <a:off x="0" y="0"/>
                      <a:ext cx="5396865" cy="3818890"/>
                    </a:xfrm>
                    <a:prstGeom prst="rect">
                      <a:avLst/>
                    </a:prstGeom>
                  </pic:spPr>
                </pic:pic>
              </a:graphicData>
            </a:graphic>
          </wp:inline>
        </w:drawing>
      </w:r>
    </w:p>
    <w:p w14:paraId="06E31FC7">
      <w:pPr>
        <w:pStyle w:val="30"/>
        <w:ind w:left="0" w:leftChars="0"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2</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塘渡口镇</w:t>
      </w:r>
      <w:r>
        <w:rPr>
          <w:rFonts w:hint="eastAsia" w:ascii="黑体" w:hAnsi="黑体" w:eastAsia="黑体"/>
          <w:sz w:val="28"/>
          <w:szCs w:val="24"/>
        </w:rPr>
        <w:t>秸秆禁烧区、限烧区耕地分布图</w:t>
      </w:r>
    </w:p>
    <w:p w14:paraId="077AE106">
      <w:pPr>
        <w:pStyle w:val="30"/>
        <w:ind w:firstLine="0" w:firstLineChars="0"/>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3</w:t>
      </w:r>
    </w:p>
    <w:p w14:paraId="4B3FC452">
      <w:pPr>
        <w:pStyle w:val="30"/>
        <w:ind w:firstLine="0" w:firstLineChars="0"/>
        <w:rPr>
          <w:rFonts w:hint="eastAsia" w:ascii="黑体" w:hAnsi="黑体" w:eastAsia="黑体"/>
          <w:lang w:val="en-US" w:eastAsia="zh-CN"/>
        </w:rPr>
      </w:pPr>
      <w:r>
        <w:rPr>
          <w:rFonts w:hint="eastAsia" w:ascii="黑体" w:hAnsi="黑体" w:eastAsia="黑体"/>
          <w:lang w:val="en-US" w:eastAsia="zh-CN"/>
        </w:rPr>
        <w:drawing>
          <wp:inline distT="0" distB="0" distL="114300" distR="114300">
            <wp:extent cx="5396865" cy="3818890"/>
            <wp:effectExtent l="0" t="0" r="13335" b="10160"/>
            <wp:docPr id="6" name="图片 6" descr="白仓镇秸秆禁烧区划定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白仓镇秸秆禁烧区划定乡镇"/>
                    <pic:cNvPicPr>
                      <a:picLocks noChangeAspect="1"/>
                    </pic:cNvPicPr>
                  </pic:nvPicPr>
                  <pic:blipFill>
                    <a:blip r:embed="rId12"/>
                    <a:stretch>
                      <a:fillRect/>
                    </a:stretch>
                  </pic:blipFill>
                  <pic:spPr>
                    <a:xfrm>
                      <a:off x="0" y="0"/>
                      <a:ext cx="5396865" cy="3818890"/>
                    </a:xfrm>
                    <a:prstGeom prst="rect">
                      <a:avLst/>
                    </a:prstGeom>
                  </pic:spPr>
                </pic:pic>
              </a:graphicData>
            </a:graphic>
          </wp:inline>
        </w:drawing>
      </w:r>
    </w:p>
    <w:p w14:paraId="3D9DF63A">
      <w:pPr>
        <w:pStyle w:val="30"/>
        <w:ind w:left="0" w:leftChars="0"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3</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白仓镇</w:t>
      </w:r>
      <w:r>
        <w:rPr>
          <w:rFonts w:hint="eastAsia" w:ascii="黑体" w:hAnsi="黑体" w:eastAsia="黑体"/>
          <w:sz w:val="28"/>
          <w:szCs w:val="24"/>
        </w:rPr>
        <w:t>秸秆禁烧区、限烧区耕地分布图</w:t>
      </w:r>
    </w:p>
    <w:p w14:paraId="6E8FB497">
      <w:pPr>
        <w:pStyle w:val="30"/>
        <w:ind w:firstLine="0" w:firstLineChars="0"/>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4</w:t>
      </w:r>
    </w:p>
    <w:p w14:paraId="385700DC">
      <w:pPr>
        <w:pStyle w:val="30"/>
        <w:ind w:firstLine="0" w:firstLineChars="0"/>
        <w:rPr>
          <w:rFonts w:hint="eastAsia" w:ascii="黑体" w:hAnsi="黑体" w:eastAsia="黑体"/>
          <w:lang w:val="en-US" w:eastAsia="zh-CN"/>
        </w:rPr>
      </w:pPr>
      <w:r>
        <w:rPr>
          <w:rFonts w:hint="eastAsia" w:ascii="黑体" w:hAnsi="黑体" w:eastAsia="黑体"/>
          <w:lang w:val="en-US" w:eastAsia="zh-CN"/>
        </w:rPr>
        <w:drawing>
          <wp:inline distT="0" distB="0" distL="114300" distR="114300">
            <wp:extent cx="5396865" cy="3818890"/>
            <wp:effectExtent l="0" t="0" r="13335" b="10160"/>
            <wp:docPr id="7" name="图片 7" descr="金称市镇秸秆禁烧区划定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金称市镇秸秆禁烧区划定乡镇"/>
                    <pic:cNvPicPr>
                      <a:picLocks noChangeAspect="1"/>
                    </pic:cNvPicPr>
                  </pic:nvPicPr>
                  <pic:blipFill>
                    <a:blip r:embed="rId13"/>
                    <a:stretch>
                      <a:fillRect/>
                    </a:stretch>
                  </pic:blipFill>
                  <pic:spPr>
                    <a:xfrm>
                      <a:off x="0" y="0"/>
                      <a:ext cx="5396865" cy="3818890"/>
                    </a:xfrm>
                    <a:prstGeom prst="rect">
                      <a:avLst/>
                    </a:prstGeom>
                  </pic:spPr>
                </pic:pic>
              </a:graphicData>
            </a:graphic>
          </wp:inline>
        </w:drawing>
      </w:r>
    </w:p>
    <w:p w14:paraId="595DD6A8">
      <w:pPr>
        <w:pStyle w:val="30"/>
        <w:ind w:left="0" w:leftChars="0"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4</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金称市镇</w:t>
      </w:r>
      <w:r>
        <w:rPr>
          <w:rFonts w:hint="eastAsia" w:ascii="黑体" w:hAnsi="黑体" w:eastAsia="黑体"/>
          <w:sz w:val="28"/>
          <w:szCs w:val="24"/>
        </w:rPr>
        <w:t>秸秆禁烧区、限烧区耕地分布图</w:t>
      </w:r>
    </w:p>
    <w:p w14:paraId="4D30C962">
      <w:pPr>
        <w:pStyle w:val="30"/>
        <w:ind w:firstLine="0" w:firstLineChars="0"/>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5</w:t>
      </w:r>
    </w:p>
    <w:p w14:paraId="43FA9280">
      <w:pPr>
        <w:pStyle w:val="30"/>
        <w:ind w:firstLine="0" w:firstLineChars="0"/>
        <w:rPr>
          <w:rFonts w:hint="eastAsia" w:ascii="黑体" w:hAnsi="黑体" w:eastAsia="黑体"/>
          <w:lang w:val="en-US" w:eastAsia="zh-CN"/>
        </w:rPr>
      </w:pPr>
      <w:r>
        <w:rPr>
          <w:rFonts w:hint="eastAsia" w:ascii="黑体" w:hAnsi="黑体" w:eastAsia="黑体"/>
          <w:lang w:val="en-US" w:eastAsia="zh-CN"/>
        </w:rPr>
        <w:drawing>
          <wp:inline distT="0" distB="0" distL="114300" distR="114300">
            <wp:extent cx="5396865" cy="3818890"/>
            <wp:effectExtent l="0" t="0" r="13335" b="10160"/>
            <wp:docPr id="8" name="图片 8" descr="塘田市镇秸秆禁烧区划定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塘田市镇秸秆禁烧区划定乡镇"/>
                    <pic:cNvPicPr>
                      <a:picLocks noChangeAspect="1"/>
                    </pic:cNvPicPr>
                  </pic:nvPicPr>
                  <pic:blipFill>
                    <a:blip r:embed="rId14"/>
                    <a:stretch>
                      <a:fillRect/>
                    </a:stretch>
                  </pic:blipFill>
                  <pic:spPr>
                    <a:xfrm>
                      <a:off x="0" y="0"/>
                      <a:ext cx="5396865" cy="3818890"/>
                    </a:xfrm>
                    <a:prstGeom prst="rect">
                      <a:avLst/>
                    </a:prstGeom>
                  </pic:spPr>
                </pic:pic>
              </a:graphicData>
            </a:graphic>
          </wp:inline>
        </w:drawing>
      </w:r>
    </w:p>
    <w:p w14:paraId="06394958">
      <w:pPr>
        <w:pStyle w:val="30"/>
        <w:ind w:left="0" w:leftChars="0"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5</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塘田市镇</w:t>
      </w:r>
      <w:r>
        <w:rPr>
          <w:rFonts w:hint="eastAsia" w:ascii="黑体" w:hAnsi="黑体" w:eastAsia="黑体"/>
          <w:sz w:val="28"/>
          <w:szCs w:val="24"/>
        </w:rPr>
        <w:t>秸秆禁烧区、限烧区耕地分布图</w:t>
      </w:r>
    </w:p>
    <w:p w14:paraId="2C032BE5">
      <w:pPr>
        <w:pStyle w:val="30"/>
        <w:ind w:firstLine="0" w:firstLineChars="0"/>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6</w:t>
      </w:r>
    </w:p>
    <w:p w14:paraId="3363469A">
      <w:pPr>
        <w:pStyle w:val="30"/>
        <w:ind w:firstLine="0" w:firstLineChars="0"/>
        <w:rPr>
          <w:rFonts w:hint="eastAsia" w:ascii="黑体" w:hAnsi="黑体" w:eastAsia="黑体"/>
          <w:lang w:val="en-US" w:eastAsia="zh-CN"/>
        </w:rPr>
      </w:pPr>
      <w:r>
        <w:rPr>
          <w:rFonts w:hint="eastAsia" w:ascii="黑体" w:hAnsi="黑体" w:eastAsia="黑体"/>
          <w:lang w:val="en-US" w:eastAsia="zh-CN"/>
        </w:rPr>
        <w:drawing>
          <wp:inline distT="0" distB="0" distL="114300" distR="114300">
            <wp:extent cx="5396865" cy="3818890"/>
            <wp:effectExtent l="0" t="0" r="13335" b="10160"/>
            <wp:docPr id="9" name="图片 9" descr="黄亭市镇秸秆禁烧区划定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黄亭市镇秸秆禁烧区划定乡镇"/>
                    <pic:cNvPicPr>
                      <a:picLocks noChangeAspect="1"/>
                    </pic:cNvPicPr>
                  </pic:nvPicPr>
                  <pic:blipFill>
                    <a:blip r:embed="rId15"/>
                    <a:stretch>
                      <a:fillRect/>
                    </a:stretch>
                  </pic:blipFill>
                  <pic:spPr>
                    <a:xfrm>
                      <a:off x="0" y="0"/>
                      <a:ext cx="5396865" cy="3818890"/>
                    </a:xfrm>
                    <a:prstGeom prst="rect">
                      <a:avLst/>
                    </a:prstGeom>
                  </pic:spPr>
                </pic:pic>
              </a:graphicData>
            </a:graphic>
          </wp:inline>
        </w:drawing>
      </w:r>
    </w:p>
    <w:p w14:paraId="1562E9B5">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6</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黄亭市镇</w:t>
      </w:r>
      <w:r>
        <w:rPr>
          <w:rFonts w:hint="eastAsia" w:ascii="黑体" w:hAnsi="黑体" w:eastAsia="黑体"/>
          <w:sz w:val="28"/>
          <w:szCs w:val="24"/>
        </w:rPr>
        <w:t>秸秆禁烧区、限烧区耕地分布图</w:t>
      </w:r>
    </w:p>
    <w:p w14:paraId="60EFE0DF">
      <w:pPr>
        <w:pStyle w:val="30"/>
        <w:ind w:firstLine="0" w:firstLineChars="0"/>
        <w:jc w:val="left"/>
        <w:rPr>
          <w:rFonts w:hint="eastAsia" w:ascii="黑体" w:hAnsi="黑体" w:eastAsia="黑体"/>
          <w:sz w:val="28"/>
          <w:szCs w:val="24"/>
          <w:lang w:val="en-US" w:eastAsia="zh-CN"/>
        </w:rPr>
      </w:pPr>
      <w:r>
        <w:rPr>
          <w:rFonts w:hint="eastAsia" w:ascii="黑体" w:hAnsi="黑体" w:eastAsia="黑体"/>
        </w:rPr>
        <w:t>附图</w:t>
      </w:r>
      <w:r>
        <w:rPr>
          <w:rFonts w:hint="eastAsia" w:ascii="黑体" w:hAnsi="黑体" w:eastAsia="黑体"/>
          <w:lang w:val="en-US" w:eastAsia="zh-CN"/>
        </w:rPr>
        <w:t>7</w:t>
      </w:r>
    </w:p>
    <w:p w14:paraId="1CFF23CB">
      <w:pPr>
        <w:pStyle w:val="30"/>
        <w:ind w:left="0" w:leftChars="0" w:firstLine="0" w:firstLineChars="0"/>
        <w:jc w:val="center"/>
        <w:rPr>
          <w:rFonts w:hint="eastAsia" w:ascii="黑体" w:hAnsi="黑体" w:eastAsia="黑体"/>
          <w:sz w:val="28"/>
          <w:szCs w:val="24"/>
          <w:lang w:eastAsia="zh-CN"/>
        </w:rPr>
      </w:pPr>
      <w:r>
        <w:rPr>
          <w:rFonts w:hint="eastAsia" w:ascii="黑体" w:hAnsi="黑体" w:eastAsia="黑体"/>
          <w:sz w:val="28"/>
          <w:szCs w:val="24"/>
          <w:lang w:eastAsia="zh-CN"/>
        </w:rPr>
        <w:drawing>
          <wp:inline distT="0" distB="0" distL="114300" distR="114300">
            <wp:extent cx="5396865" cy="3818890"/>
            <wp:effectExtent l="0" t="0" r="13335" b="10160"/>
            <wp:docPr id="10" name="图片 10" descr="长阳铺镇秸秆禁烧区划定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长阳铺镇秸秆禁烧区划定乡镇"/>
                    <pic:cNvPicPr>
                      <a:picLocks noChangeAspect="1"/>
                    </pic:cNvPicPr>
                  </pic:nvPicPr>
                  <pic:blipFill>
                    <a:blip r:embed="rId16"/>
                    <a:stretch>
                      <a:fillRect/>
                    </a:stretch>
                  </pic:blipFill>
                  <pic:spPr>
                    <a:xfrm>
                      <a:off x="0" y="0"/>
                      <a:ext cx="5396865" cy="3818890"/>
                    </a:xfrm>
                    <a:prstGeom prst="rect">
                      <a:avLst/>
                    </a:prstGeom>
                  </pic:spPr>
                </pic:pic>
              </a:graphicData>
            </a:graphic>
          </wp:inline>
        </w:drawing>
      </w:r>
    </w:p>
    <w:p w14:paraId="2610B349">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7</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长阳铺镇</w:t>
      </w:r>
      <w:r>
        <w:rPr>
          <w:rFonts w:hint="eastAsia" w:ascii="黑体" w:hAnsi="黑体" w:eastAsia="黑体"/>
          <w:sz w:val="28"/>
          <w:szCs w:val="24"/>
        </w:rPr>
        <w:t>秸秆禁烧区、限烧区耕地分布图</w:t>
      </w:r>
    </w:p>
    <w:p w14:paraId="44A5687E">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8</w:t>
      </w:r>
    </w:p>
    <w:p w14:paraId="0D41F621">
      <w:pPr>
        <w:pStyle w:val="30"/>
        <w:ind w:firstLine="0" w:firstLineChars="0"/>
        <w:jc w:val="left"/>
        <w:rPr>
          <w:rFonts w:hint="default" w:ascii="黑体" w:hAnsi="黑体" w:eastAsia="黑体"/>
          <w:lang w:val="en-US" w:eastAsia="zh-CN"/>
        </w:rPr>
      </w:pPr>
      <w:r>
        <w:rPr>
          <w:rFonts w:hint="default" w:ascii="黑体" w:hAnsi="黑体" w:eastAsia="黑体"/>
          <w:lang w:val="en-US" w:eastAsia="zh-CN"/>
        </w:rPr>
        <w:drawing>
          <wp:inline distT="0" distB="0" distL="114300" distR="114300">
            <wp:extent cx="5396865" cy="3818890"/>
            <wp:effectExtent l="0" t="0" r="13335" b="10160"/>
            <wp:docPr id="11" name="图片 11" descr="岩口铺镇秸秆禁烧区划定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岩口铺镇秸秆禁烧区划定乡镇"/>
                    <pic:cNvPicPr>
                      <a:picLocks noChangeAspect="1"/>
                    </pic:cNvPicPr>
                  </pic:nvPicPr>
                  <pic:blipFill>
                    <a:blip r:embed="rId17"/>
                    <a:stretch>
                      <a:fillRect/>
                    </a:stretch>
                  </pic:blipFill>
                  <pic:spPr>
                    <a:xfrm>
                      <a:off x="0" y="0"/>
                      <a:ext cx="5396865" cy="3818890"/>
                    </a:xfrm>
                    <a:prstGeom prst="rect">
                      <a:avLst/>
                    </a:prstGeom>
                  </pic:spPr>
                </pic:pic>
              </a:graphicData>
            </a:graphic>
          </wp:inline>
        </w:drawing>
      </w:r>
    </w:p>
    <w:p w14:paraId="7EC4CAF4">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8</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岩口铺镇</w:t>
      </w:r>
      <w:r>
        <w:rPr>
          <w:rFonts w:hint="eastAsia" w:ascii="黑体" w:hAnsi="黑体" w:eastAsia="黑体"/>
          <w:sz w:val="28"/>
          <w:szCs w:val="24"/>
        </w:rPr>
        <w:t>秸秆禁烧区、限烧区耕地分布图</w:t>
      </w:r>
    </w:p>
    <w:p w14:paraId="4F360826">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9</w:t>
      </w:r>
    </w:p>
    <w:p w14:paraId="6E7CEE1C">
      <w:pPr>
        <w:pStyle w:val="30"/>
        <w:ind w:firstLine="0" w:firstLineChars="0"/>
        <w:jc w:val="left"/>
        <w:rPr>
          <w:rFonts w:hint="default" w:ascii="黑体" w:hAnsi="黑体" w:eastAsia="黑体"/>
          <w:lang w:val="en-US" w:eastAsia="zh-CN"/>
        </w:rPr>
      </w:pPr>
      <w:r>
        <w:rPr>
          <w:rFonts w:hint="default" w:ascii="黑体" w:hAnsi="黑体" w:eastAsia="黑体"/>
          <w:lang w:val="en-US" w:eastAsia="zh-CN"/>
        </w:rPr>
        <w:drawing>
          <wp:inline distT="0" distB="0" distL="114300" distR="114300">
            <wp:extent cx="5396865" cy="3818890"/>
            <wp:effectExtent l="0" t="0" r="13335" b="10160"/>
            <wp:docPr id="12" name="图片 12" descr="九公桥镇秸秆禁烧区划定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九公桥镇秸秆禁烧区划定乡镇"/>
                    <pic:cNvPicPr>
                      <a:picLocks noChangeAspect="1"/>
                    </pic:cNvPicPr>
                  </pic:nvPicPr>
                  <pic:blipFill>
                    <a:blip r:embed="rId18"/>
                    <a:stretch>
                      <a:fillRect/>
                    </a:stretch>
                  </pic:blipFill>
                  <pic:spPr>
                    <a:xfrm>
                      <a:off x="0" y="0"/>
                      <a:ext cx="5396865" cy="3818890"/>
                    </a:xfrm>
                    <a:prstGeom prst="rect">
                      <a:avLst/>
                    </a:prstGeom>
                  </pic:spPr>
                </pic:pic>
              </a:graphicData>
            </a:graphic>
          </wp:inline>
        </w:drawing>
      </w:r>
    </w:p>
    <w:p w14:paraId="24E564C8">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9</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九公桥镇</w:t>
      </w:r>
      <w:r>
        <w:rPr>
          <w:rFonts w:hint="eastAsia" w:ascii="黑体" w:hAnsi="黑体" w:eastAsia="黑体"/>
          <w:sz w:val="28"/>
          <w:szCs w:val="24"/>
        </w:rPr>
        <w:t>秸秆禁烧区、限烧区耕地分布图</w:t>
      </w:r>
    </w:p>
    <w:p w14:paraId="0DACAA83">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10</w:t>
      </w:r>
    </w:p>
    <w:p w14:paraId="4FB39F36">
      <w:pPr>
        <w:pStyle w:val="30"/>
        <w:ind w:firstLine="0" w:firstLineChars="0"/>
        <w:jc w:val="left"/>
        <w:rPr>
          <w:rFonts w:hint="default" w:ascii="黑体" w:hAnsi="黑体" w:eastAsia="黑体"/>
          <w:lang w:val="en-US" w:eastAsia="zh-CN"/>
        </w:rPr>
      </w:pPr>
      <w:r>
        <w:rPr>
          <w:rFonts w:hint="default" w:ascii="黑体" w:hAnsi="黑体" w:eastAsia="黑体"/>
          <w:lang w:val="en-US" w:eastAsia="zh-CN"/>
        </w:rPr>
        <w:drawing>
          <wp:inline distT="0" distB="0" distL="114300" distR="114300">
            <wp:extent cx="5396865" cy="3818890"/>
            <wp:effectExtent l="0" t="0" r="13335" b="10160"/>
            <wp:docPr id="14" name="图片 14" descr="下花桥镇秸秆禁烧区划定乡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下花桥镇秸秆禁烧区划定乡镇"/>
                    <pic:cNvPicPr>
                      <a:picLocks noChangeAspect="1"/>
                    </pic:cNvPicPr>
                  </pic:nvPicPr>
                  <pic:blipFill>
                    <a:blip r:embed="rId19"/>
                    <a:stretch>
                      <a:fillRect/>
                    </a:stretch>
                  </pic:blipFill>
                  <pic:spPr>
                    <a:xfrm>
                      <a:off x="0" y="0"/>
                      <a:ext cx="5396865" cy="3818890"/>
                    </a:xfrm>
                    <a:prstGeom prst="rect">
                      <a:avLst/>
                    </a:prstGeom>
                  </pic:spPr>
                </pic:pic>
              </a:graphicData>
            </a:graphic>
          </wp:inline>
        </w:drawing>
      </w:r>
    </w:p>
    <w:p w14:paraId="7343346C">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10</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下花桥镇</w:t>
      </w:r>
      <w:r>
        <w:rPr>
          <w:rFonts w:hint="eastAsia" w:ascii="黑体" w:hAnsi="黑体" w:eastAsia="黑体"/>
          <w:sz w:val="28"/>
          <w:szCs w:val="24"/>
        </w:rPr>
        <w:t>秸秆禁烧区、限烧区耕地分布图</w:t>
      </w:r>
    </w:p>
    <w:p w14:paraId="54BD6597">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11</w:t>
      </w:r>
    </w:p>
    <w:p w14:paraId="50FD4CC3">
      <w:pPr>
        <w:pStyle w:val="30"/>
        <w:ind w:firstLine="0" w:firstLineChars="0"/>
        <w:jc w:val="left"/>
        <w:rPr>
          <w:rFonts w:hint="eastAsia" w:ascii="黑体" w:hAnsi="黑体" w:eastAsia="黑体"/>
          <w:lang w:val="en-US" w:eastAsia="zh-CN"/>
        </w:rPr>
      </w:pPr>
      <w:r>
        <w:rPr>
          <w:rFonts w:hint="eastAsia" w:ascii="黑体" w:hAnsi="黑体" w:eastAsia="黑体"/>
          <w:lang w:val="en-US" w:eastAsia="zh-CN"/>
        </w:rPr>
        <w:drawing>
          <wp:inline distT="0" distB="0" distL="114300" distR="114300">
            <wp:extent cx="5396865" cy="3818890"/>
            <wp:effectExtent l="0" t="0" r="13335" b="10160"/>
            <wp:docPr id="13" name="图片 13" descr="谷洲镇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谷洲镇秸秆禁烧区、限烧区耕地分布图"/>
                    <pic:cNvPicPr>
                      <a:picLocks noChangeAspect="1"/>
                    </pic:cNvPicPr>
                  </pic:nvPicPr>
                  <pic:blipFill>
                    <a:blip r:embed="rId20"/>
                    <a:stretch>
                      <a:fillRect/>
                    </a:stretch>
                  </pic:blipFill>
                  <pic:spPr>
                    <a:xfrm>
                      <a:off x="0" y="0"/>
                      <a:ext cx="5396865" cy="3818890"/>
                    </a:xfrm>
                    <a:prstGeom prst="rect">
                      <a:avLst/>
                    </a:prstGeom>
                  </pic:spPr>
                </pic:pic>
              </a:graphicData>
            </a:graphic>
          </wp:inline>
        </w:drawing>
      </w:r>
    </w:p>
    <w:p w14:paraId="6701F1FD">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11</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谷洲镇</w:t>
      </w:r>
      <w:r>
        <w:rPr>
          <w:rFonts w:hint="eastAsia" w:ascii="黑体" w:hAnsi="黑体" w:eastAsia="黑体"/>
          <w:sz w:val="28"/>
          <w:szCs w:val="24"/>
        </w:rPr>
        <w:t>秸秆禁烧区、限烧区耕地分布图</w:t>
      </w:r>
    </w:p>
    <w:p w14:paraId="2C91E1AA">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12</w:t>
      </w:r>
    </w:p>
    <w:p w14:paraId="558A10E3">
      <w:pPr>
        <w:pStyle w:val="30"/>
        <w:ind w:firstLine="0" w:firstLineChars="0"/>
        <w:jc w:val="center"/>
        <w:rPr>
          <w:rFonts w:hint="default" w:ascii="黑体" w:hAnsi="黑体" w:eastAsia="黑体"/>
          <w:sz w:val="28"/>
          <w:szCs w:val="24"/>
          <w:lang w:val="en-US" w:eastAsia="zh-CN"/>
        </w:rPr>
      </w:pPr>
      <w:r>
        <w:rPr>
          <w:rFonts w:hint="default" w:ascii="黑体" w:hAnsi="黑体" w:eastAsia="黑体"/>
          <w:sz w:val="28"/>
          <w:szCs w:val="24"/>
          <w:lang w:val="en-US" w:eastAsia="zh-CN"/>
        </w:rPr>
        <w:drawing>
          <wp:inline distT="0" distB="0" distL="114300" distR="114300">
            <wp:extent cx="5396865" cy="3818890"/>
            <wp:effectExtent l="0" t="0" r="13335" b="10160"/>
            <wp:docPr id="15" name="图片 15" descr="郦家坪镇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郦家坪镇秸秆禁烧区、限烧区耕地分布图"/>
                    <pic:cNvPicPr>
                      <a:picLocks noChangeAspect="1"/>
                    </pic:cNvPicPr>
                  </pic:nvPicPr>
                  <pic:blipFill>
                    <a:blip r:embed="rId21"/>
                    <a:stretch>
                      <a:fillRect/>
                    </a:stretch>
                  </pic:blipFill>
                  <pic:spPr>
                    <a:xfrm>
                      <a:off x="0" y="0"/>
                      <a:ext cx="5396865" cy="3818890"/>
                    </a:xfrm>
                    <a:prstGeom prst="rect">
                      <a:avLst/>
                    </a:prstGeom>
                  </pic:spPr>
                </pic:pic>
              </a:graphicData>
            </a:graphic>
          </wp:inline>
        </w:drawing>
      </w:r>
    </w:p>
    <w:p w14:paraId="46471232">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12</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郦家坪镇</w:t>
      </w:r>
      <w:r>
        <w:rPr>
          <w:rFonts w:hint="eastAsia" w:ascii="黑体" w:hAnsi="黑体" w:eastAsia="黑体"/>
          <w:sz w:val="28"/>
          <w:szCs w:val="24"/>
        </w:rPr>
        <w:t>秸秆禁烧区、限烧区耕地分布图</w:t>
      </w:r>
    </w:p>
    <w:p w14:paraId="555623EA">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13</w:t>
      </w:r>
    </w:p>
    <w:p w14:paraId="3699B55B">
      <w:pPr>
        <w:pStyle w:val="30"/>
        <w:ind w:firstLine="0" w:firstLineChars="0"/>
        <w:jc w:val="center"/>
        <w:rPr>
          <w:rFonts w:hint="default" w:ascii="黑体" w:hAnsi="黑体" w:eastAsia="黑体"/>
          <w:sz w:val="28"/>
          <w:szCs w:val="24"/>
          <w:lang w:val="en-US" w:eastAsia="zh-CN"/>
        </w:rPr>
      </w:pPr>
      <w:r>
        <w:rPr>
          <w:rFonts w:hint="default" w:ascii="黑体" w:hAnsi="黑体" w:eastAsia="黑体"/>
          <w:sz w:val="28"/>
          <w:szCs w:val="24"/>
          <w:lang w:val="en-US" w:eastAsia="zh-CN"/>
        </w:rPr>
        <w:drawing>
          <wp:inline distT="0" distB="0" distL="114300" distR="114300">
            <wp:extent cx="5396865" cy="3818890"/>
            <wp:effectExtent l="0" t="0" r="13335" b="10160"/>
            <wp:docPr id="16" name="图片 16" descr="五峰铺镇、五峰铺林场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五峰铺镇、五峰铺林场秸秆禁烧区、限烧区耕地分布图"/>
                    <pic:cNvPicPr>
                      <a:picLocks noChangeAspect="1"/>
                    </pic:cNvPicPr>
                  </pic:nvPicPr>
                  <pic:blipFill>
                    <a:blip r:embed="rId22"/>
                    <a:stretch>
                      <a:fillRect/>
                    </a:stretch>
                  </pic:blipFill>
                  <pic:spPr>
                    <a:xfrm>
                      <a:off x="0" y="0"/>
                      <a:ext cx="5396865" cy="3818890"/>
                    </a:xfrm>
                    <a:prstGeom prst="rect">
                      <a:avLst/>
                    </a:prstGeom>
                  </pic:spPr>
                </pic:pic>
              </a:graphicData>
            </a:graphic>
          </wp:inline>
        </w:drawing>
      </w:r>
    </w:p>
    <w:p w14:paraId="2EC5E06E">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13</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五峰铺镇、五峰铺林场</w:t>
      </w:r>
      <w:r>
        <w:rPr>
          <w:rFonts w:hint="eastAsia" w:ascii="黑体" w:hAnsi="黑体" w:eastAsia="黑体"/>
          <w:sz w:val="28"/>
          <w:szCs w:val="24"/>
        </w:rPr>
        <w:t>秸秆禁烧区、限烧区耕地分布图</w:t>
      </w:r>
    </w:p>
    <w:p w14:paraId="035F0634">
      <w:pPr>
        <w:pStyle w:val="30"/>
        <w:ind w:firstLine="0" w:firstLineChars="0"/>
        <w:jc w:val="left"/>
        <w:rPr>
          <w:rFonts w:hint="eastAsia" w:ascii="黑体" w:hAnsi="黑体" w:eastAsia="黑体"/>
          <w:sz w:val="28"/>
          <w:szCs w:val="24"/>
        </w:rPr>
      </w:pPr>
      <w:r>
        <w:rPr>
          <w:rFonts w:hint="eastAsia" w:ascii="黑体" w:hAnsi="黑体" w:eastAsia="黑体"/>
        </w:rPr>
        <w:t>附图</w:t>
      </w:r>
      <w:r>
        <w:rPr>
          <w:rFonts w:hint="eastAsia" w:ascii="黑体" w:hAnsi="黑体" w:eastAsia="黑体"/>
          <w:lang w:val="en-US" w:eastAsia="zh-CN"/>
        </w:rPr>
        <w:t>14</w:t>
      </w:r>
    </w:p>
    <w:p w14:paraId="5F3A3FD0">
      <w:pPr>
        <w:pStyle w:val="30"/>
        <w:ind w:firstLine="0" w:firstLineChars="0"/>
        <w:jc w:val="center"/>
        <w:rPr>
          <w:rFonts w:hint="default" w:ascii="黑体" w:hAnsi="黑体" w:eastAsia="黑体"/>
          <w:sz w:val="28"/>
          <w:szCs w:val="24"/>
          <w:lang w:val="en-US" w:eastAsia="zh-CN"/>
        </w:rPr>
      </w:pPr>
      <w:r>
        <w:rPr>
          <w:rFonts w:hint="default" w:ascii="黑体" w:hAnsi="黑体" w:eastAsia="黑体"/>
          <w:sz w:val="28"/>
          <w:szCs w:val="24"/>
          <w:lang w:val="en-US" w:eastAsia="zh-CN"/>
        </w:rPr>
        <w:drawing>
          <wp:inline distT="0" distB="0" distL="114300" distR="114300">
            <wp:extent cx="5396865" cy="3818890"/>
            <wp:effectExtent l="0" t="0" r="13335" b="10160"/>
            <wp:docPr id="17" name="图片 17" descr="小溪市镇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小溪市镇秸秆禁烧区、限烧区耕地分布图"/>
                    <pic:cNvPicPr>
                      <a:picLocks noChangeAspect="1"/>
                    </pic:cNvPicPr>
                  </pic:nvPicPr>
                  <pic:blipFill>
                    <a:blip r:embed="rId23"/>
                    <a:stretch>
                      <a:fillRect/>
                    </a:stretch>
                  </pic:blipFill>
                  <pic:spPr>
                    <a:xfrm>
                      <a:off x="0" y="0"/>
                      <a:ext cx="5396865" cy="3818890"/>
                    </a:xfrm>
                    <a:prstGeom prst="rect">
                      <a:avLst/>
                    </a:prstGeom>
                  </pic:spPr>
                </pic:pic>
              </a:graphicData>
            </a:graphic>
          </wp:inline>
        </w:drawing>
      </w:r>
    </w:p>
    <w:p w14:paraId="7C4E309A">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14</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小溪市镇</w:t>
      </w:r>
      <w:r>
        <w:rPr>
          <w:rFonts w:hint="eastAsia" w:ascii="黑体" w:hAnsi="黑体" w:eastAsia="黑体"/>
          <w:sz w:val="28"/>
          <w:szCs w:val="24"/>
        </w:rPr>
        <w:t>秸秆禁烧区、限烧区耕地分布图</w:t>
      </w:r>
    </w:p>
    <w:p w14:paraId="17AA7823">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15</w:t>
      </w:r>
    </w:p>
    <w:p w14:paraId="1767682B">
      <w:pPr>
        <w:pStyle w:val="30"/>
        <w:ind w:firstLine="0" w:firstLineChars="0"/>
        <w:jc w:val="left"/>
        <w:rPr>
          <w:rFonts w:hint="eastAsia" w:ascii="黑体" w:hAnsi="黑体" w:eastAsia="黑体"/>
          <w:lang w:val="en-US" w:eastAsia="zh-CN"/>
        </w:rPr>
      </w:pPr>
      <w:r>
        <w:rPr>
          <w:rFonts w:hint="eastAsia" w:ascii="黑体" w:hAnsi="黑体" w:eastAsia="黑体"/>
          <w:lang w:val="en-US" w:eastAsia="zh-CN"/>
        </w:rPr>
        <w:drawing>
          <wp:inline distT="0" distB="0" distL="114300" distR="114300">
            <wp:extent cx="5396865" cy="3818890"/>
            <wp:effectExtent l="0" t="0" r="13335" b="10160"/>
            <wp:docPr id="18" name="图片 18" descr="长乐乡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长乐乡秸秆禁烧区、限烧区耕地分布图"/>
                    <pic:cNvPicPr>
                      <a:picLocks noChangeAspect="1"/>
                    </pic:cNvPicPr>
                  </pic:nvPicPr>
                  <pic:blipFill>
                    <a:blip r:embed="rId24"/>
                    <a:stretch>
                      <a:fillRect/>
                    </a:stretch>
                  </pic:blipFill>
                  <pic:spPr>
                    <a:xfrm>
                      <a:off x="0" y="0"/>
                      <a:ext cx="5396865" cy="3818890"/>
                    </a:xfrm>
                    <a:prstGeom prst="rect">
                      <a:avLst/>
                    </a:prstGeom>
                  </pic:spPr>
                </pic:pic>
              </a:graphicData>
            </a:graphic>
          </wp:inline>
        </w:drawing>
      </w:r>
    </w:p>
    <w:p w14:paraId="54672849">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15</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长乐乡</w:t>
      </w:r>
      <w:r>
        <w:rPr>
          <w:rFonts w:hint="eastAsia" w:ascii="黑体" w:hAnsi="黑体" w:eastAsia="黑体"/>
          <w:sz w:val="28"/>
          <w:szCs w:val="24"/>
        </w:rPr>
        <w:t>秸秆禁烧区、限烧区耕地分布图</w:t>
      </w:r>
    </w:p>
    <w:p w14:paraId="3F779A2B">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16</w:t>
      </w:r>
    </w:p>
    <w:p w14:paraId="269CFBE2">
      <w:pPr>
        <w:pStyle w:val="30"/>
        <w:ind w:firstLine="0" w:firstLineChars="0"/>
        <w:jc w:val="center"/>
        <w:rPr>
          <w:rFonts w:hint="eastAsia" w:ascii="黑体" w:hAnsi="黑体" w:eastAsia="黑体"/>
          <w:sz w:val="28"/>
          <w:szCs w:val="24"/>
          <w:lang w:eastAsia="zh-CN"/>
        </w:rPr>
      </w:pPr>
      <w:r>
        <w:rPr>
          <w:rFonts w:hint="eastAsia" w:ascii="黑体" w:hAnsi="黑体" w:eastAsia="黑体"/>
          <w:sz w:val="28"/>
          <w:szCs w:val="24"/>
          <w:lang w:eastAsia="zh-CN"/>
        </w:rPr>
        <w:drawing>
          <wp:inline distT="0" distB="0" distL="114300" distR="114300">
            <wp:extent cx="5396865" cy="3818890"/>
            <wp:effectExtent l="0" t="0" r="13335" b="10160"/>
            <wp:docPr id="19" name="图片 19" descr="蔡桥乡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蔡桥乡秸秆禁烧区、限烧区耕地分布图"/>
                    <pic:cNvPicPr>
                      <a:picLocks noChangeAspect="1"/>
                    </pic:cNvPicPr>
                  </pic:nvPicPr>
                  <pic:blipFill>
                    <a:blip r:embed="rId25"/>
                    <a:stretch>
                      <a:fillRect/>
                    </a:stretch>
                  </pic:blipFill>
                  <pic:spPr>
                    <a:xfrm>
                      <a:off x="0" y="0"/>
                      <a:ext cx="5396865" cy="3818890"/>
                    </a:xfrm>
                    <a:prstGeom prst="rect">
                      <a:avLst/>
                    </a:prstGeom>
                  </pic:spPr>
                </pic:pic>
              </a:graphicData>
            </a:graphic>
          </wp:inline>
        </w:drawing>
      </w:r>
    </w:p>
    <w:p w14:paraId="54102C9E">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16</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蔡桥乡</w:t>
      </w:r>
      <w:r>
        <w:rPr>
          <w:rFonts w:hint="eastAsia" w:ascii="黑体" w:hAnsi="黑体" w:eastAsia="黑体"/>
          <w:sz w:val="28"/>
          <w:szCs w:val="24"/>
        </w:rPr>
        <w:t>秸秆禁烧区、限烧区耕地分布图</w:t>
      </w:r>
    </w:p>
    <w:p w14:paraId="18745CD6">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17</w:t>
      </w:r>
    </w:p>
    <w:p w14:paraId="482DE07D">
      <w:pPr>
        <w:pStyle w:val="30"/>
        <w:ind w:firstLine="0" w:firstLineChars="0"/>
        <w:jc w:val="center"/>
        <w:rPr>
          <w:rFonts w:hint="eastAsia" w:ascii="黑体" w:hAnsi="黑体" w:eastAsia="黑体"/>
          <w:sz w:val="28"/>
          <w:szCs w:val="24"/>
          <w:lang w:eastAsia="zh-CN"/>
        </w:rPr>
      </w:pPr>
      <w:r>
        <w:rPr>
          <w:rFonts w:hint="eastAsia" w:ascii="黑体" w:hAnsi="黑体" w:eastAsia="黑体"/>
          <w:sz w:val="28"/>
          <w:szCs w:val="24"/>
          <w:lang w:eastAsia="zh-CN"/>
        </w:rPr>
        <w:drawing>
          <wp:inline distT="0" distB="0" distL="114300" distR="114300">
            <wp:extent cx="5396865" cy="3818890"/>
            <wp:effectExtent l="0" t="0" r="13335" b="10160"/>
            <wp:docPr id="20" name="图片 20" descr="河伯乡、河伯岭林场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河伯乡、河伯岭林场秸秆禁烧区、限烧区耕地分布图"/>
                    <pic:cNvPicPr>
                      <a:picLocks noChangeAspect="1"/>
                    </pic:cNvPicPr>
                  </pic:nvPicPr>
                  <pic:blipFill>
                    <a:blip r:embed="rId26"/>
                    <a:stretch>
                      <a:fillRect/>
                    </a:stretch>
                  </pic:blipFill>
                  <pic:spPr>
                    <a:xfrm>
                      <a:off x="0" y="0"/>
                      <a:ext cx="5396865" cy="3818890"/>
                    </a:xfrm>
                    <a:prstGeom prst="rect">
                      <a:avLst/>
                    </a:prstGeom>
                  </pic:spPr>
                </pic:pic>
              </a:graphicData>
            </a:graphic>
          </wp:inline>
        </w:drawing>
      </w:r>
    </w:p>
    <w:p w14:paraId="7BDF7A59">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17</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河伯乡、河伯岭林场</w:t>
      </w:r>
      <w:r>
        <w:rPr>
          <w:rFonts w:hint="eastAsia" w:ascii="黑体" w:hAnsi="黑体" w:eastAsia="黑体"/>
          <w:sz w:val="28"/>
          <w:szCs w:val="24"/>
        </w:rPr>
        <w:t>秸秆禁烧区、限烧区耕地分布图</w:t>
      </w:r>
    </w:p>
    <w:p w14:paraId="1946BCA5">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18</w:t>
      </w:r>
    </w:p>
    <w:p w14:paraId="1BDEEDAC">
      <w:pPr>
        <w:pStyle w:val="30"/>
        <w:ind w:firstLine="0" w:firstLineChars="0"/>
        <w:jc w:val="center"/>
        <w:rPr>
          <w:rFonts w:hint="eastAsia" w:ascii="黑体" w:hAnsi="黑体" w:eastAsia="黑体"/>
          <w:sz w:val="28"/>
          <w:szCs w:val="24"/>
          <w:lang w:eastAsia="zh-CN"/>
        </w:rPr>
      </w:pPr>
      <w:r>
        <w:rPr>
          <w:rFonts w:hint="eastAsia" w:ascii="黑体" w:hAnsi="黑体" w:eastAsia="黑体"/>
          <w:sz w:val="28"/>
          <w:szCs w:val="24"/>
          <w:lang w:eastAsia="zh-CN"/>
        </w:rPr>
        <w:drawing>
          <wp:inline distT="0" distB="0" distL="114300" distR="114300">
            <wp:extent cx="5396865" cy="3818890"/>
            <wp:effectExtent l="0" t="0" r="13335" b="10160"/>
            <wp:docPr id="21" name="图片 21" descr="黄荆乡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黄荆乡秸秆禁烧区、限烧区耕地分布图"/>
                    <pic:cNvPicPr>
                      <a:picLocks noChangeAspect="1"/>
                    </pic:cNvPicPr>
                  </pic:nvPicPr>
                  <pic:blipFill>
                    <a:blip r:embed="rId27"/>
                    <a:stretch>
                      <a:fillRect/>
                    </a:stretch>
                  </pic:blipFill>
                  <pic:spPr>
                    <a:xfrm>
                      <a:off x="0" y="0"/>
                      <a:ext cx="5396865" cy="3818890"/>
                    </a:xfrm>
                    <a:prstGeom prst="rect">
                      <a:avLst/>
                    </a:prstGeom>
                  </pic:spPr>
                </pic:pic>
              </a:graphicData>
            </a:graphic>
          </wp:inline>
        </w:drawing>
      </w:r>
    </w:p>
    <w:p w14:paraId="0256A011">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18</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黄荆乡</w:t>
      </w:r>
      <w:r>
        <w:rPr>
          <w:rFonts w:hint="eastAsia" w:ascii="黑体" w:hAnsi="黑体" w:eastAsia="黑体"/>
          <w:sz w:val="28"/>
          <w:szCs w:val="24"/>
        </w:rPr>
        <w:t>秸秆禁烧区、限烧区耕地分布图</w:t>
      </w:r>
    </w:p>
    <w:p w14:paraId="3106F584">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19</w:t>
      </w:r>
    </w:p>
    <w:p w14:paraId="0D888C1D">
      <w:pPr>
        <w:pStyle w:val="30"/>
        <w:ind w:firstLine="0" w:firstLineChars="0"/>
        <w:jc w:val="left"/>
        <w:rPr>
          <w:rFonts w:hint="eastAsia" w:ascii="黑体" w:hAnsi="黑体" w:eastAsia="黑体"/>
          <w:lang w:val="en-US" w:eastAsia="zh-CN"/>
        </w:rPr>
      </w:pPr>
      <w:r>
        <w:rPr>
          <w:rFonts w:hint="eastAsia" w:ascii="黑体" w:hAnsi="黑体" w:eastAsia="黑体"/>
          <w:lang w:val="en-US" w:eastAsia="zh-CN"/>
        </w:rPr>
        <w:drawing>
          <wp:inline distT="0" distB="0" distL="114300" distR="114300">
            <wp:extent cx="5396865" cy="3818890"/>
            <wp:effectExtent l="0" t="0" r="13335" b="10160"/>
            <wp:docPr id="22" name="图片 22" descr="诸甲亭乡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诸甲亭乡秸秆禁烧区、限烧区耕地分布图"/>
                    <pic:cNvPicPr>
                      <a:picLocks noChangeAspect="1"/>
                    </pic:cNvPicPr>
                  </pic:nvPicPr>
                  <pic:blipFill>
                    <a:blip r:embed="rId28"/>
                    <a:stretch>
                      <a:fillRect/>
                    </a:stretch>
                  </pic:blipFill>
                  <pic:spPr>
                    <a:xfrm>
                      <a:off x="0" y="0"/>
                      <a:ext cx="5396865" cy="3818890"/>
                    </a:xfrm>
                    <a:prstGeom prst="rect">
                      <a:avLst/>
                    </a:prstGeom>
                  </pic:spPr>
                </pic:pic>
              </a:graphicData>
            </a:graphic>
          </wp:inline>
        </w:drawing>
      </w:r>
    </w:p>
    <w:p w14:paraId="75EDD1E7">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19</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诸甲亭乡</w:t>
      </w:r>
      <w:r>
        <w:rPr>
          <w:rFonts w:hint="eastAsia" w:ascii="黑体" w:hAnsi="黑体" w:eastAsia="黑体"/>
          <w:sz w:val="28"/>
          <w:szCs w:val="24"/>
        </w:rPr>
        <w:t>秸秆禁烧区、限烧区耕地分布图</w:t>
      </w:r>
    </w:p>
    <w:p w14:paraId="45BD44A1">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20</w:t>
      </w:r>
    </w:p>
    <w:p w14:paraId="7925E4BB">
      <w:pPr>
        <w:pStyle w:val="30"/>
        <w:ind w:firstLine="0" w:firstLineChars="0"/>
        <w:jc w:val="left"/>
        <w:rPr>
          <w:rFonts w:hint="default" w:ascii="黑体" w:hAnsi="黑体" w:eastAsia="黑体"/>
          <w:lang w:val="en-US" w:eastAsia="zh-CN"/>
        </w:rPr>
      </w:pPr>
      <w:r>
        <w:rPr>
          <w:rFonts w:hint="default" w:ascii="黑体" w:hAnsi="黑体" w:eastAsia="黑体"/>
          <w:lang w:val="en-US" w:eastAsia="zh-CN"/>
        </w:rPr>
        <w:drawing>
          <wp:inline distT="0" distB="0" distL="114300" distR="114300">
            <wp:extent cx="5396865" cy="3818890"/>
            <wp:effectExtent l="0" t="0" r="13335" b="10160"/>
            <wp:docPr id="23" name="图片 23" descr="罗城乡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罗城乡秸秆禁烧区、限烧区耕地分布图"/>
                    <pic:cNvPicPr>
                      <a:picLocks noChangeAspect="1"/>
                    </pic:cNvPicPr>
                  </pic:nvPicPr>
                  <pic:blipFill>
                    <a:blip r:embed="rId29"/>
                    <a:stretch>
                      <a:fillRect/>
                    </a:stretch>
                  </pic:blipFill>
                  <pic:spPr>
                    <a:xfrm>
                      <a:off x="0" y="0"/>
                      <a:ext cx="5396865" cy="3818890"/>
                    </a:xfrm>
                    <a:prstGeom prst="rect">
                      <a:avLst/>
                    </a:prstGeom>
                  </pic:spPr>
                </pic:pic>
              </a:graphicData>
            </a:graphic>
          </wp:inline>
        </w:drawing>
      </w:r>
    </w:p>
    <w:p w14:paraId="6273B6AA">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20</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罗城乡</w:t>
      </w:r>
      <w:r>
        <w:rPr>
          <w:rFonts w:hint="eastAsia" w:ascii="黑体" w:hAnsi="黑体" w:eastAsia="黑体"/>
          <w:sz w:val="28"/>
          <w:szCs w:val="24"/>
        </w:rPr>
        <w:t>秸秆禁烧区、限烧区耕地分布图</w:t>
      </w:r>
    </w:p>
    <w:p w14:paraId="1743BC8E">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21</w:t>
      </w:r>
    </w:p>
    <w:p w14:paraId="663CFE4F">
      <w:pPr>
        <w:pStyle w:val="30"/>
        <w:ind w:firstLine="0" w:firstLineChars="0"/>
        <w:jc w:val="center"/>
        <w:rPr>
          <w:rFonts w:hint="eastAsia" w:ascii="黑体" w:hAnsi="黑体" w:eastAsia="黑体"/>
          <w:sz w:val="28"/>
          <w:szCs w:val="24"/>
          <w:lang w:eastAsia="zh-CN"/>
        </w:rPr>
      </w:pPr>
      <w:r>
        <w:rPr>
          <w:rFonts w:hint="eastAsia" w:ascii="黑体" w:hAnsi="黑体" w:eastAsia="黑体"/>
          <w:sz w:val="28"/>
          <w:szCs w:val="24"/>
          <w:lang w:eastAsia="zh-CN"/>
        </w:rPr>
        <w:drawing>
          <wp:inline distT="0" distB="0" distL="114300" distR="114300">
            <wp:extent cx="5396865" cy="3818890"/>
            <wp:effectExtent l="0" t="0" r="13335" b="10160"/>
            <wp:docPr id="24" name="图片 24" descr="金江乡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金江乡秸秆禁烧区、限烧区耕地分布图"/>
                    <pic:cNvPicPr>
                      <a:picLocks noChangeAspect="1"/>
                    </pic:cNvPicPr>
                  </pic:nvPicPr>
                  <pic:blipFill>
                    <a:blip r:embed="rId30"/>
                    <a:stretch>
                      <a:fillRect/>
                    </a:stretch>
                  </pic:blipFill>
                  <pic:spPr>
                    <a:xfrm>
                      <a:off x="0" y="0"/>
                      <a:ext cx="5396865" cy="3818890"/>
                    </a:xfrm>
                    <a:prstGeom prst="rect">
                      <a:avLst/>
                    </a:prstGeom>
                  </pic:spPr>
                </pic:pic>
              </a:graphicData>
            </a:graphic>
          </wp:inline>
        </w:drawing>
      </w:r>
    </w:p>
    <w:p w14:paraId="0734E460">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21</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金江乡</w:t>
      </w:r>
      <w:r>
        <w:rPr>
          <w:rFonts w:hint="eastAsia" w:ascii="黑体" w:hAnsi="黑体" w:eastAsia="黑体"/>
          <w:sz w:val="28"/>
          <w:szCs w:val="24"/>
        </w:rPr>
        <w:t>秸秆禁烧区、限烧区耕地分布图</w:t>
      </w:r>
    </w:p>
    <w:p w14:paraId="2516A108">
      <w:pPr>
        <w:pStyle w:val="30"/>
        <w:ind w:firstLine="0" w:firstLineChars="0"/>
        <w:jc w:val="left"/>
        <w:rPr>
          <w:rFonts w:hint="eastAsia" w:ascii="黑体" w:hAnsi="黑体" w:eastAsia="黑体"/>
          <w:lang w:val="en-US" w:eastAsia="zh-CN"/>
        </w:rPr>
      </w:pPr>
      <w:r>
        <w:rPr>
          <w:rFonts w:hint="eastAsia" w:ascii="黑体" w:hAnsi="黑体" w:eastAsia="黑体"/>
        </w:rPr>
        <w:t>附图</w:t>
      </w:r>
      <w:r>
        <w:rPr>
          <w:rFonts w:hint="eastAsia" w:ascii="黑体" w:hAnsi="黑体" w:eastAsia="黑体"/>
          <w:lang w:val="en-US" w:eastAsia="zh-CN"/>
        </w:rPr>
        <w:t>22</w:t>
      </w:r>
    </w:p>
    <w:p w14:paraId="34658E28">
      <w:pPr>
        <w:pStyle w:val="30"/>
        <w:ind w:firstLine="0" w:firstLineChars="0"/>
        <w:jc w:val="center"/>
        <w:rPr>
          <w:rFonts w:hint="eastAsia" w:ascii="黑体" w:hAnsi="黑体" w:eastAsia="黑体"/>
          <w:sz w:val="28"/>
          <w:szCs w:val="24"/>
          <w:lang w:eastAsia="zh-CN"/>
        </w:rPr>
      </w:pPr>
      <w:r>
        <w:rPr>
          <w:rFonts w:hint="eastAsia" w:ascii="黑体" w:hAnsi="黑体" w:eastAsia="黑体"/>
          <w:sz w:val="28"/>
          <w:szCs w:val="24"/>
          <w:lang w:eastAsia="zh-CN"/>
        </w:rPr>
        <w:drawing>
          <wp:inline distT="0" distB="0" distL="114300" distR="114300">
            <wp:extent cx="5396865" cy="3818890"/>
            <wp:effectExtent l="0" t="0" r="13335" b="10160"/>
            <wp:docPr id="25" name="图片 25" descr="七里山园艺场秸秆禁烧区、限烧区耕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七里山园艺场秸秆禁烧区、限烧区耕地分布图"/>
                    <pic:cNvPicPr>
                      <a:picLocks noChangeAspect="1"/>
                    </pic:cNvPicPr>
                  </pic:nvPicPr>
                  <pic:blipFill>
                    <a:blip r:embed="rId31"/>
                    <a:stretch>
                      <a:fillRect/>
                    </a:stretch>
                  </pic:blipFill>
                  <pic:spPr>
                    <a:xfrm>
                      <a:off x="0" y="0"/>
                      <a:ext cx="5396865" cy="3818890"/>
                    </a:xfrm>
                    <a:prstGeom prst="rect">
                      <a:avLst/>
                    </a:prstGeom>
                  </pic:spPr>
                </pic:pic>
              </a:graphicData>
            </a:graphic>
          </wp:inline>
        </w:drawing>
      </w:r>
    </w:p>
    <w:p w14:paraId="7D2A5C41">
      <w:pPr>
        <w:pStyle w:val="30"/>
        <w:ind w:firstLine="0" w:firstLineChars="0"/>
        <w:jc w:val="center"/>
        <w:rPr>
          <w:rFonts w:hint="eastAsia" w:ascii="黑体" w:hAnsi="黑体" w:eastAsia="黑体"/>
          <w:sz w:val="28"/>
          <w:szCs w:val="24"/>
        </w:rPr>
      </w:pPr>
      <w:r>
        <w:rPr>
          <w:rFonts w:hint="eastAsia" w:ascii="黑体" w:hAnsi="黑体" w:eastAsia="黑体"/>
          <w:sz w:val="28"/>
          <w:szCs w:val="24"/>
        </w:rPr>
        <w:t>图</w:t>
      </w:r>
      <w:r>
        <w:rPr>
          <w:rFonts w:hint="eastAsia" w:ascii="黑体" w:hAnsi="黑体" w:eastAsia="黑体"/>
          <w:sz w:val="28"/>
          <w:szCs w:val="24"/>
          <w:lang w:val="en-US" w:eastAsia="zh-CN"/>
        </w:rPr>
        <w:t>22</w:t>
      </w:r>
      <w:r>
        <w:rPr>
          <w:rFonts w:ascii="黑体" w:hAnsi="黑体" w:eastAsia="黑体"/>
          <w:sz w:val="28"/>
          <w:szCs w:val="24"/>
        </w:rPr>
        <w:t xml:space="preserve">  </w:t>
      </w:r>
      <w:r>
        <w:rPr>
          <w:rFonts w:hint="eastAsia" w:ascii="黑体" w:hAnsi="黑体" w:eastAsia="黑体"/>
          <w:sz w:val="28"/>
          <w:szCs w:val="24"/>
          <w:lang w:eastAsia="zh-CN"/>
        </w:rPr>
        <w:t>邵阳县</w:t>
      </w:r>
      <w:r>
        <w:rPr>
          <w:rFonts w:hint="eastAsia" w:ascii="黑体" w:hAnsi="黑体" w:eastAsia="黑体"/>
          <w:sz w:val="28"/>
          <w:szCs w:val="24"/>
          <w:lang w:val="en-US" w:eastAsia="zh-CN"/>
        </w:rPr>
        <w:t>七里山园艺场</w:t>
      </w:r>
      <w:r>
        <w:rPr>
          <w:rFonts w:hint="eastAsia" w:ascii="黑体" w:hAnsi="黑体" w:eastAsia="黑体"/>
          <w:sz w:val="28"/>
          <w:szCs w:val="24"/>
        </w:rPr>
        <w:t>秸秆禁烧区、限烧区耕地分布图</w:t>
      </w:r>
    </w:p>
    <w:p w14:paraId="5CBA67E9">
      <w:pPr>
        <w:pStyle w:val="3"/>
      </w:pPr>
      <w:bookmarkStart w:id="76" w:name="_GoBack"/>
      <w:bookmarkEnd w:id="76"/>
      <w:bookmarkStart w:id="58" w:name="_Toc25594"/>
      <w:r>
        <w:t>3.4 成果核定及</w:t>
      </w:r>
      <w:r>
        <w:rPr>
          <w:rFonts w:hint="eastAsia"/>
        </w:rPr>
        <w:t>目</w:t>
      </w:r>
      <w:r>
        <w:t>标分析</w:t>
      </w:r>
      <w:bookmarkEnd w:id="58"/>
    </w:p>
    <w:p w14:paraId="6024EA7E">
      <w:pPr>
        <w:pStyle w:val="4"/>
        <w:rPr>
          <w:rFonts w:hint="default"/>
        </w:rPr>
      </w:pPr>
      <w:bookmarkStart w:id="59" w:name="_Toc14301"/>
      <w:r>
        <w:rPr>
          <w:rFonts w:hint="default"/>
        </w:rPr>
        <w:t>3.4</w:t>
      </w:r>
      <w:r>
        <w:t>.</w:t>
      </w:r>
      <w:r>
        <w:rPr>
          <w:rFonts w:hint="default"/>
        </w:rPr>
        <w:t>1禁烧区基础信息</w:t>
      </w:r>
      <w:bookmarkEnd w:id="59"/>
    </w:p>
    <w:p w14:paraId="4288D6C9">
      <w:pPr>
        <w:ind w:firstLine="560" w:firstLineChars="200"/>
      </w:pPr>
      <w:r>
        <w:t>禁烧区通常是指在特定区域内，为了减少大气污染、保障环境空气质量、维护公共安全等目的，全面禁止露天焚烧农作物秸秆、垃圾、落叶等产生烟尘污染物质的区域。</w:t>
      </w:r>
    </w:p>
    <w:p w14:paraId="784BC8B4">
      <w:pPr>
        <w:ind w:firstLine="562" w:firstLineChars="200"/>
      </w:pPr>
      <w:r>
        <w:rPr>
          <w:b/>
          <w:bCs/>
        </w:rPr>
        <w:t>划定范围</w:t>
      </w:r>
      <w:r>
        <w:t>：禁烧区的划定范围一般包括城市建成区及其周边一定范围内的区域，像人口集中居住区、学校、医院、机关单位等人员密集场所周边；交通干线，如高速公路、铁路、国道、省道等两侧一定距离范围内；各级自然保护区、风景名胜区、森林公园、湿地公园、地质公园等生态敏感区域；油库、气库、弹药库、粮库、加油站等易燃易爆场所周边；文物保护单位、历史文化街区等周边。</w:t>
      </w:r>
    </w:p>
    <w:p w14:paraId="2553015D">
      <w:pPr>
        <w:ind w:firstLine="562" w:firstLineChars="200"/>
      </w:pPr>
      <w:r>
        <w:rPr>
          <w:b/>
          <w:bCs/>
        </w:rPr>
        <w:t>管控措施</w:t>
      </w:r>
      <w:r>
        <w:t>：在禁烧区内，实行严格的管控措施。全时段严禁任何单位和个人露天焚烧相关物质。设立明显的禁烧警示标识，在主要路口、村庄、农田周边等显著位置设置警示标识牌。建立全方位、全时段的监管体系，运用卫星遥感监测、无人机巡查、地面监控摄像头以及人工巡查等多种手段，及时发现和制止焚烧行为。对于违反禁烧规定的单位和个人，依据相关法律法规给予严厉处罚，包括责令停止违法行为、罚款等；情节严重构成犯罪的，依法追究刑事责任。</w:t>
      </w:r>
    </w:p>
    <w:p w14:paraId="69817CB5">
      <w:pPr>
        <w:ind w:firstLine="562" w:firstLineChars="200"/>
      </w:pPr>
      <w:r>
        <w:rPr>
          <w:b/>
          <w:bCs/>
        </w:rPr>
        <w:t>实施目的</w:t>
      </w:r>
      <w:r>
        <w:t>：减少因焚烧产生的烟尘、颗粒物、有害气体等污染物排放，改善区域大气环境质量，降低雾霾等污染天气发生的频率 。保护生态环境，避免对自然保护区、林地、湿地等生态敏感区域造成破坏，维护生态平衡。降低火灾发生风险，保障人民群众生命财产安全和公共安全，避免因焚烧引发火灾事故对周边居民、建筑和设施造成威胁。</w:t>
      </w:r>
    </w:p>
    <w:p w14:paraId="3E65D5BB">
      <w:pPr>
        <w:pStyle w:val="4"/>
        <w:rPr>
          <w:rFonts w:hint="default"/>
        </w:rPr>
      </w:pPr>
      <w:bookmarkStart w:id="60" w:name="_Toc27616"/>
      <w:r>
        <w:rPr>
          <w:rFonts w:hint="default"/>
        </w:rPr>
        <w:t>3.1.2限烧区基础信息</w:t>
      </w:r>
      <w:bookmarkEnd w:id="60"/>
    </w:p>
    <w:p w14:paraId="68C14648">
      <w:pPr>
        <w:ind w:firstLine="560" w:firstLineChars="200"/>
      </w:pPr>
      <w:r>
        <w:t>限烧区是指在特定条件下，对露天焚烧行为实施一定限制和管理的区域，目的是在满足农业生产需求的同时，有效控制焚烧带来的环境污染，实现环境保护与农业生产的平衡发展。</w:t>
      </w:r>
    </w:p>
    <w:p w14:paraId="7BFDE36A">
      <w:pPr>
        <w:ind w:firstLine="562" w:firstLineChars="200"/>
      </w:pPr>
      <w:r>
        <w:rPr>
          <w:b/>
          <w:bCs/>
        </w:rPr>
        <w:t>划定范围</w:t>
      </w:r>
      <w:r>
        <w:t>：通常是禁烧区以外的区域。在某些地区，会依据当地的地形地貌、气象条件、人口分布、农业生产布局等因素，进一步细分限烧区。例如，远离人口密集区、交通干线且通风条件良好的空旷农田区域，可能被划定为限烧区。</w:t>
      </w:r>
    </w:p>
    <w:p w14:paraId="18867D94">
      <w:pPr>
        <w:ind w:firstLine="562" w:firstLineChars="200"/>
      </w:pPr>
      <w:r>
        <w:rPr>
          <w:b/>
          <w:bCs/>
        </w:rPr>
        <w:t>管控措施</w:t>
      </w:r>
      <w:r>
        <w:rPr>
          <w:rFonts w:hint="eastAsia"/>
          <w:b/>
          <w:bCs/>
        </w:rPr>
        <w:t>：</w:t>
      </w:r>
      <w:r>
        <w:t>焚烧条件限制：在满足特定气象条件时，才可进行焚烧。如要求风速达到一定数值，以利于污染物扩散，避免烟尘聚集；相对湿度需在合适范围，防止因湿度过高导致焚烧不完全，产生更多污染物 。当出现不利于污染物扩散的气象条件，像静稳天气（大气处于相对稳定状态，空气流动微弱）、逆温（气温随高度增加而升高，阻碍污染物垂直扩散）等情况时，严禁焚烧。</w:t>
      </w:r>
    </w:p>
    <w:p w14:paraId="431C9BA7">
      <w:pPr>
        <w:ind w:firstLine="562" w:firstLineChars="200"/>
      </w:pPr>
      <w:r>
        <w:rPr>
          <w:b/>
          <w:bCs/>
        </w:rPr>
        <w:t>时间限制</w:t>
      </w:r>
      <w:r>
        <w:t>：一般禁止在夜间焚烧，因为夜间大气扩散条件相对较差，污染物不易消散，容易造成空气污染。例如，规定当日19:00至次日7:00禁止焚烧秸秆等。在重污染天气预警期间，或当地环境空气质量预报将出现以细颗粒物（PM2.5）为首要污染物的轻度及以上污染天，也会禁止焚烧，以减轻对空气质量的影响。</w:t>
      </w:r>
    </w:p>
    <w:p w14:paraId="0401A792">
      <w:pPr>
        <w:ind w:firstLine="562" w:firstLineChars="200"/>
      </w:pPr>
      <w:r>
        <w:rPr>
          <w:b/>
          <w:bCs/>
        </w:rPr>
        <w:t>焚烧申报与监管</w:t>
      </w:r>
      <w:r>
        <w:t>：实施焚烧行为前，需提前向当地相关部门申报，如乡镇政府或环保部门，说明焚烧的时间、地点、面积、焚烧物种类等信息，经批准后，在专人监管下进行焚烧，确保焚烧过程安全可控，避免引发火灾等事故 。</w:t>
      </w:r>
    </w:p>
    <w:p w14:paraId="37B659DA">
      <w:pPr>
        <w:ind w:firstLine="562" w:firstLineChars="200"/>
      </w:pPr>
      <w:r>
        <w:rPr>
          <w:b/>
          <w:bCs/>
        </w:rPr>
        <w:t>实施目的</w:t>
      </w:r>
      <w:r>
        <w:t>：在一定程度上满足农民处理秸秆等农业废弃物的需求，减少因秸秆等堆积造成的不便，保障农业生产的顺利进行 。对焚烧行为进行严格限制和管理，有效减少焚烧产生的烟尘、二氧化硫、氮氧化物等污染物排放，降低对大气环境质量的影响，保护生态环境。通过规范焚烧行为，降低火灾发生的风险，保障人民群众生命财产安全和公共安全 。</w:t>
      </w:r>
    </w:p>
    <w:p w14:paraId="35EF960F">
      <w:pPr>
        <w:pStyle w:val="4"/>
        <w:rPr>
          <w:rFonts w:hint="default"/>
        </w:rPr>
      </w:pPr>
      <w:bookmarkStart w:id="61" w:name="_Toc27582"/>
      <w:r>
        <w:rPr>
          <w:rFonts w:hint="default"/>
        </w:rPr>
        <w:t>3.4.2禁、限烧耕地情况</w:t>
      </w:r>
      <w:bookmarkEnd w:id="61"/>
    </w:p>
    <w:p w14:paraId="5046FB77">
      <w:pPr>
        <w:ind w:firstLine="562" w:firstLineChars="200"/>
      </w:pPr>
      <w:r>
        <w:rPr>
          <w:rFonts w:hint="eastAsia"/>
          <w:b/>
          <w:bCs/>
        </w:rPr>
        <w:t>（1）</w:t>
      </w:r>
      <w:r>
        <w:rPr>
          <w:b/>
          <w:bCs/>
        </w:rPr>
        <w:t>范围界定</w:t>
      </w:r>
      <w:r>
        <w:t>：禁烧区耕地主要集中在城市建成区周边，如</w:t>
      </w:r>
      <w:r>
        <w:rPr>
          <w:rFonts w:hint="eastAsia"/>
        </w:rPr>
        <w:t>邵阳县</w:t>
      </w:r>
      <w:r>
        <w:t>建成区向外延伸</w:t>
      </w:r>
      <w:r>
        <w:rPr>
          <w:rFonts w:hint="eastAsia"/>
        </w:rPr>
        <w:t>5</w:t>
      </w:r>
      <w:r>
        <w:t>公里范围内的耕地，区域人口密集，焚烧秸秆易对居民生活和健康造成影响。交通干线两侧也有大量禁烧区耕地，像高速公路沿线两侧</w:t>
      </w:r>
      <w:r>
        <w:rPr>
          <w:rFonts w:hint="eastAsia"/>
        </w:rPr>
        <w:t>2</w:t>
      </w:r>
      <w:r>
        <w:t>公里内，以及国道、省道公路干线两侧</w:t>
      </w:r>
      <w:r>
        <w:rPr>
          <w:rFonts w:hint="eastAsia"/>
        </w:rPr>
        <w:t>1</w:t>
      </w:r>
      <w:r>
        <w:t>公里内，保障交通视线和设施安全。还有各级自然保护区、风景名胜区、森林公园等生态敏感区域周边</w:t>
      </w:r>
      <w:r>
        <w:rPr>
          <w:rFonts w:hint="eastAsia"/>
        </w:rPr>
        <w:t>2</w:t>
      </w:r>
      <w:r>
        <w:t>公里内的耕地，以及油库、粮库、易燃易爆物品生产储存企业周边</w:t>
      </w:r>
      <w:r>
        <w:rPr>
          <w:rFonts w:hint="eastAsia"/>
        </w:rPr>
        <w:t>1</w:t>
      </w:r>
      <w:r>
        <w:t>公里内的耕地，防止引发安全事故和生态破坏。</w:t>
      </w:r>
    </w:p>
    <w:p w14:paraId="6660875B">
      <w:pPr>
        <w:ind w:firstLine="562" w:firstLineChars="200"/>
      </w:pPr>
      <w:r>
        <w:rPr>
          <w:rFonts w:hint="eastAsia"/>
          <w:b/>
          <w:bCs/>
        </w:rPr>
        <w:t>（2）</w:t>
      </w:r>
      <w:r>
        <w:rPr>
          <w:b/>
          <w:bCs/>
        </w:rPr>
        <w:t> 管控措施</w:t>
      </w:r>
      <w:r>
        <w:t>：在禁烧区耕地上，全时段严禁露天焚烧秸秆、杂草等一切易产生烟尘污染的物质 。设置明显的禁烧警示标识牌，每隔</w:t>
      </w:r>
      <w:r>
        <w:rPr>
          <w:rFonts w:hint="eastAsia"/>
        </w:rPr>
        <w:t>10</w:t>
      </w:r>
      <w:r>
        <w:t>米在耕地周边道路、田埂等位置设立，标明“禁烧区，严禁焚烧” 。建立网格化监管体系，将每块耕地划分到具体网格，每个网格配备</w:t>
      </w:r>
      <w:r>
        <w:rPr>
          <w:rFonts w:hint="eastAsia"/>
        </w:rPr>
        <w:t>1</w:t>
      </w:r>
      <w:r>
        <w:t>名监管人员，利用卫星遥感、无人机巡查、地面监控摄像头等技术手段，确保24小时实时监控 。对违反禁烧规定的，依法依规严肃处理，罚款金额根据焚烧面积和污染程度确定，最高可达</w:t>
      </w:r>
      <w:r>
        <w:rPr>
          <w:rFonts w:hint="eastAsia"/>
        </w:rPr>
        <w:t>2000</w:t>
      </w:r>
      <w:r>
        <w:t>元；情节严重的，追究刑事责任。</w:t>
      </w:r>
    </w:p>
    <w:p w14:paraId="467AF823">
      <w:pPr>
        <w:ind w:firstLine="562" w:firstLineChars="200"/>
      </w:pPr>
      <w:r>
        <w:rPr>
          <w:b/>
          <w:bCs/>
        </w:rPr>
        <w:t>限烧区耕地情况</w:t>
      </w:r>
    </w:p>
    <w:p w14:paraId="2A49F921">
      <w:pPr>
        <w:ind w:firstLine="562" w:firstLineChars="200"/>
      </w:pPr>
      <w:r>
        <w:rPr>
          <w:rFonts w:hint="eastAsia"/>
          <w:b/>
          <w:bCs/>
        </w:rPr>
        <w:t>（1）</w:t>
      </w:r>
      <w:r>
        <w:rPr>
          <w:b/>
          <w:bCs/>
        </w:rPr>
        <w:t>范围界定</w:t>
      </w:r>
      <w:r>
        <w:t>：限烧区耕地范围为禁烧区以外的其他耕地，分布在广大农村地区 。在</w:t>
      </w:r>
      <w:r>
        <w:rPr>
          <w:rFonts w:hint="eastAsia"/>
        </w:rPr>
        <w:t>邵阳县</w:t>
      </w:r>
      <w:r>
        <w:t>除了县城周边禁烧区外，其他乡镇的耕地大多属于限烧区，涉及黄荆乡</w:t>
      </w:r>
      <w:r>
        <w:rPr>
          <w:rFonts w:hint="eastAsia"/>
        </w:rPr>
        <w:t>、</w:t>
      </w:r>
      <w:r>
        <w:t>五峰铺镇</w:t>
      </w:r>
      <w:r>
        <w:rPr>
          <w:rFonts w:hint="eastAsia"/>
        </w:rPr>
        <w:t>等</w:t>
      </w:r>
      <w:r>
        <w:t>。</w:t>
      </w:r>
    </w:p>
    <w:p w14:paraId="182C6079">
      <w:pPr>
        <w:ind w:firstLine="562" w:firstLineChars="200"/>
      </w:pPr>
      <w:r>
        <w:rPr>
          <w:rFonts w:hint="eastAsia"/>
          <w:b/>
          <w:bCs/>
        </w:rPr>
        <w:t>（2）</w:t>
      </w:r>
      <w:r>
        <w:rPr>
          <w:b/>
          <w:bCs/>
        </w:rPr>
        <w:t>管控措施</w:t>
      </w:r>
      <w:r>
        <w:t>：在满足特定气象条件下，限烧区耕地可进行有序焚烧 。焚烧前需提前</w:t>
      </w:r>
      <w:r>
        <w:rPr>
          <w:rFonts w:hint="eastAsia"/>
        </w:rPr>
        <w:t>1</w:t>
      </w:r>
      <w:r>
        <w:t>天向所在村委会或乡镇政府申报，说明焚烧时间、地点、面积、秸秆种类等信息 。严格控制焚烧规模，每次焚烧面积不得超过</w:t>
      </w:r>
      <w:r>
        <w:rPr>
          <w:rFonts w:hint="eastAsia"/>
        </w:rPr>
        <w:t>20</w:t>
      </w:r>
      <w:r>
        <w:t>亩，且要设置</w:t>
      </w:r>
      <w:r>
        <w:rPr>
          <w:rFonts w:hint="eastAsia"/>
        </w:rPr>
        <w:t>10</w:t>
      </w:r>
      <w:r>
        <w:t xml:space="preserve">米以上的防火隔离带 。安排专人现场监管，配备灭火器、灭火拖把等灭火设备，确保焚烧安全。 </w:t>
      </w:r>
    </w:p>
    <w:p w14:paraId="05D74AEE">
      <w:pPr>
        <w:ind w:firstLine="562" w:firstLineChars="200"/>
      </w:pPr>
      <w:r>
        <w:rPr>
          <w:rFonts w:hint="eastAsia"/>
          <w:b/>
          <w:bCs/>
        </w:rPr>
        <w:t>（3）</w:t>
      </w:r>
      <w:r>
        <w:rPr>
          <w:b/>
          <w:bCs/>
        </w:rPr>
        <w:t>焚烧时间与条件限制</w:t>
      </w:r>
      <w:r>
        <w:t>：禁止在夜间（当日19：00至次日7：00）焚烧，因夜间大气扩散条件差，污染物易聚集 。在重污染天气预警期间，以及当地环境空气质量预报将出现以细颗粒物（PM2.5）为首要污染物的轻度及以上污染天气时，严禁焚烧 。当出现风速小、静稳、逆温等不利于大气污染扩散的天气，或者下雨天、秸秆潮湿不能充分燃烧时，也禁止焚烧 。</w:t>
      </w:r>
    </w:p>
    <w:p w14:paraId="731BF9AD">
      <w:bookmarkStart w:id="62" w:name="_Toc22435"/>
    </w:p>
    <w:p w14:paraId="2F752124"/>
    <w:p w14:paraId="257C266E">
      <w:pPr>
        <w:pStyle w:val="2"/>
      </w:pPr>
      <w:r>
        <w:rPr>
          <w:rFonts w:hint="eastAsia"/>
        </w:rPr>
        <w:t xml:space="preserve"> 第四章 </w:t>
      </w:r>
      <w:r>
        <w:t>禁烧、限烧管控要求及情况</w:t>
      </w:r>
      <w:bookmarkEnd w:id="62"/>
    </w:p>
    <w:p w14:paraId="2048B888">
      <w:pPr>
        <w:pStyle w:val="3"/>
      </w:pPr>
      <w:bookmarkStart w:id="63" w:name="_Toc21483"/>
      <w:r>
        <w:rPr>
          <w:rFonts w:hint="eastAsia"/>
        </w:rPr>
        <w:t>4</w:t>
      </w:r>
      <w:r>
        <w:t>.1管控要求</w:t>
      </w:r>
      <w:bookmarkEnd w:id="63"/>
    </w:p>
    <w:p w14:paraId="7B2914E7">
      <w:pPr>
        <w:pStyle w:val="4"/>
        <w:rPr>
          <w:rFonts w:hint="default"/>
        </w:rPr>
      </w:pPr>
      <w:bookmarkStart w:id="64" w:name="_Toc22495"/>
      <w:r>
        <w:t>4.1.1 禁烧区管控要求</w:t>
      </w:r>
      <w:bookmarkEnd w:id="64"/>
    </w:p>
    <w:p w14:paraId="524BD258">
      <w:pPr>
        <w:ind w:firstLine="560" w:firstLineChars="200"/>
      </w:pPr>
      <w:r>
        <w:rPr>
          <w:rFonts w:hint="eastAsia"/>
        </w:rPr>
        <w:t>及时向社会公布辖区内划定的秸秆禁烧区。对秸秆禁烧区实行强制性禁烧政策和管理措施，在任何时间、任何气象条件及空气质量状况下，严禁秸秆露天焚烧行为。</w:t>
      </w:r>
      <w:bookmarkStart w:id="65" w:name="_Toc21320"/>
      <w:bookmarkEnd w:id="65"/>
    </w:p>
    <w:p w14:paraId="2DAED3E0">
      <w:pPr>
        <w:pStyle w:val="4"/>
        <w:rPr>
          <w:rFonts w:hint="default"/>
        </w:rPr>
      </w:pPr>
      <w:bookmarkStart w:id="66" w:name="_Toc30603"/>
      <w:r>
        <w:t>4.1.2限烧区管控要求</w:t>
      </w:r>
      <w:bookmarkEnd w:id="66"/>
    </w:p>
    <w:p w14:paraId="76889028">
      <w:pPr>
        <w:ind w:firstLine="562" w:firstLineChars="200"/>
        <w:rPr>
          <w:b/>
          <w:bCs/>
        </w:rPr>
      </w:pPr>
      <w:r>
        <w:rPr>
          <w:rFonts w:hint="eastAsia"/>
          <w:b/>
          <w:bCs/>
        </w:rPr>
        <w:t>（1）有序秸秆焚烧的环境气象条件</w:t>
      </w:r>
    </w:p>
    <w:p w14:paraId="646D39CD">
      <w:pPr>
        <w:ind w:firstLine="560" w:firstLineChars="200"/>
      </w:pPr>
      <w:r>
        <w:rPr>
          <w:rFonts w:hint="eastAsia"/>
        </w:rPr>
        <w:t>①空气质量较好，AQI指数优或良。</w:t>
      </w:r>
    </w:p>
    <w:p w14:paraId="6D1677F2">
      <w:pPr>
        <w:ind w:firstLine="560" w:firstLineChars="200"/>
      </w:pPr>
      <w:r>
        <w:rPr>
          <w:rFonts w:hint="eastAsia"/>
        </w:rPr>
        <w:t>②天气晴朗（晴天或多云），大气扩散条件好，边界层高度在800米以上。</w:t>
      </w:r>
    </w:p>
    <w:p w14:paraId="572B5513">
      <w:pPr>
        <w:ind w:firstLine="560" w:firstLineChars="200"/>
      </w:pPr>
      <w:r>
        <w:rPr>
          <w:rFonts w:hint="eastAsia"/>
        </w:rPr>
        <w:t>③风速条件合适（大于等于2级且小于等于5级），湿度较低（小于等于65%）。</w:t>
      </w:r>
    </w:p>
    <w:p w14:paraId="70E77CD7">
      <w:pPr>
        <w:ind w:firstLine="560" w:firstLineChars="200"/>
      </w:pPr>
      <w:r>
        <w:rPr>
          <w:rFonts w:hint="eastAsia"/>
        </w:rPr>
        <w:t>④在冬季宜选择在受冷空气影响（日降温幅度在6℃以上）或未来8小时后有小雨以上级别的降水。</w:t>
      </w:r>
    </w:p>
    <w:p w14:paraId="22D5EF45">
      <w:pPr>
        <w:ind w:firstLine="562" w:firstLineChars="200"/>
        <w:rPr>
          <w:b/>
          <w:bCs/>
        </w:rPr>
      </w:pPr>
      <w:r>
        <w:rPr>
          <w:rFonts w:hint="eastAsia"/>
          <w:b/>
          <w:bCs/>
        </w:rPr>
        <w:t>（2）分区域分时段露天焚烧</w:t>
      </w:r>
    </w:p>
    <w:p w14:paraId="00EF9C67">
      <w:pPr>
        <w:ind w:firstLine="560" w:firstLineChars="200"/>
      </w:pPr>
      <w:r>
        <w:rPr>
          <w:rFonts w:hint="eastAsia"/>
        </w:rPr>
        <w:t>①满足上述环境气象条件，分区域进行有序焚烧，以防止大面积集中焚烧带来区域大气污染。</w:t>
      </w:r>
    </w:p>
    <w:p w14:paraId="3F29FD19">
      <w:pPr>
        <w:ind w:firstLine="560" w:firstLineChars="200"/>
      </w:pPr>
      <w:r>
        <w:rPr>
          <w:rFonts w:hint="eastAsia"/>
        </w:rPr>
        <w:t>②秸秆焚烧时段应根据当地气象部门提供的气象条件进行。一般选择在上午10点到下午3点之间大气边界层较高（500米以上）的情况下进行焚烧，而禁止在大气边界层较低的清晨、傍晚及夜间焚烧。</w:t>
      </w:r>
    </w:p>
    <w:p w14:paraId="7EEEB4CD">
      <w:pPr>
        <w:ind w:firstLine="560" w:firstLineChars="200"/>
      </w:pPr>
      <w:r>
        <w:rPr>
          <w:rFonts w:hint="eastAsia"/>
        </w:rPr>
        <w:t>③在启动重污染天气预警期间，限烧区全面禁止露天焚烧秸秆。</w:t>
      </w:r>
    </w:p>
    <w:p w14:paraId="73FA3F71">
      <w:pPr>
        <w:pStyle w:val="3"/>
      </w:pPr>
      <w:bookmarkStart w:id="67" w:name="_Toc7755"/>
      <w:bookmarkStart w:id="68" w:name="_Toc5148"/>
      <w:r>
        <w:rPr>
          <w:rFonts w:hint="eastAsia"/>
        </w:rPr>
        <w:t>4.2管理办法</w:t>
      </w:r>
      <w:bookmarkEnd w:id="67"/>
      <w:bookmarkEnd w:id="68"/>
    </w:p>
    <w:p w14:paraId="41661DBA">
      <w:pPr>
        <w:pStyle w:val="4"/>
        <w:rPr>
          <w:rFonts w:hint="default"/>
        </w:rPr>
      </w:pPr>
      <w:bookmarkStart w:id="69" w:name="_Toc4385"/>
      <w:r>
        <w:t>4.2.1重点管控区域</w:t>
      </w:r>
      <w:bookmarkEnd w:id="69"/>
    </w:p>
    <w:p w14:paraId="49073E2B">
      <w:pPr>
        <w:ind w:firstLine="560" w:firstLineChars="200"/>
      </w:pPr>
      <w:r>
        <w:rPr>
          <w:rFonts w:hint="eastAsia"/>
        </w:rPr>
        <w:t>全县农作物种植区、人口集中区及重点生态功能区等重点区域。</w:t>
      </w:r>
    </w:p>
    <w:p w14:paraId="24AFB352">
      <w:pPr>
        <w:pStyle w:val="4"/>
        <w:rPr>
          <w:rFonts w:hint="default"/>
        </w:rPr>
      </w:pPr>
      <w:bookmarkStart w:id="70" w:name="_Toc4505"/>
      <w:r>
        <w:t>4.2.2重点管控时段</w:t>
      </w:r>
      <w:bookmarkEnd w:id="70"/>
    </w:p>
    <w:p w14:paraId="507D4007">
      <w:pPr>
        <w:ind w:firstLine="560" w:firstLineChars="200"/>
      </w:pPr>
      <w:r>
        <w:rPr>
          <w:rFonts w:hint="eastAsia"/>
        </w:rPr>
        <w:t>夏收时段：每年5月中下旬；</w:t>
      </w:r>
    </w:p>
    <w:p w14:paraId="5B76C252">
      <w:pPr>
        <w:ind w:firstLine="560" w:firstLineChars="200"/>
      </w:pPr>
      <w:r>
        <w:rPr>
          <w:rFonts w:hint="eastAsia"/>
        </w:rPr>
        <w:t>秋收时段：每年9月下旬至10月；</w:t>
      </w:r>
    </w:p>
    <w:p w14:paraId="76F10164">
      <w:pPr>
        <w:ind w:firstLine="560" w:firstLineChars="200"/>
      </w:pPr>
      <w:r>
        <w:rPr>
          <w:rFonts w:hint="eastAsia"/>
        </w:rPr>
        <w:t>大气扩散条件较差的时段：每年的11月至次年3月。</w:t>
      </w:r>
    </w:p>
    <w:p w14:paraId="487A84CE">
      <w:pPr>
        <w:ind w:firstLine="560" w:firstLineChars="200"/>
      </w:pPr>
      <w:r>
        <w:rPr>
          <w:rFonts w:hint="eastAsia"/>
        </w:rPr>
        <w:t>森林火险高风险期间禁止一切野外用火。</w:t>
      </w:r>
    </w:p>
    <w:p w14:paraId="14672E18">
      <w:pPr>
        <w:pStyle w:val="4"/>
        <w:rPr>
          <w:rFonts w:hint="default"/>
        </w:rPr>
      </w:pPr>
      <w:bookmarkStart w:id="71" w:name="_Toc6793"/>
      <w:r>
        <w:rPr>
          <w:rFonts w:hint="default"/>
        </w:rPr>
        <w:t>4.2.3</w:t>
      </w:r>
      <w:r>
        <w:t>管控手段</w:t>
      </w:r>
      <w:bookmarkEnd w:id="71"/>
    </w:p>
    <w:p w14:paraId="6128258E">
      <w:pPr>
        <w:ind w:firstLine="560" w:firstLineChars="200"/>
      </w:pPr>
      <w:r>
        <w:rPr>
          <w:rFonts w:hint="eastAsia"/>
        </w:rPr>
        <w:t>（1）细化各部门的监管责任，充分发挥乡镇村（社区）基层组织作用，加强联防联控。</w:t>
      </w:r>
    </w:p>
    <w:p w14:paraId="0D4B1115">
      <w:pPr>
        <w:ind w:firstLine="560" w:firstLineChars="200"/>
      </w:pPr>
      <w:r>
        <w:rPr>
          <w:rFonts w:hint="eastAsia"/>
        </w:rPr>
        <w:t>（2）乡镇实行“定点、定时、定人、定责”管控，建立全覆盖、无死角的网格化监管体系，切实将监管责任落实到具体单位和个人，加大巡查监管力度，发现秸秆焚烧情况，及时联动查处。</w:t>
      </w:r>
    </w:p>
    <w:p w14:paraId="4834F0A3">
      <w:pPr>
        <w:ind w:firstLine="560" w:firstLineChars="200"/>
        <w:rPr>
          <w:rFonts w:ascii="微软雅黑" w:hAnsi="微软雅黑" w:eastAsia="微软雅黑" w:cs="微软雅黑"/>
          <w:color w:val="1E1E1E"/>
        </w:rPr>
      </w:pPr>
      <w:r>
        <w:rPr>
          <w:rFonts w:hint="eastAsia"/>
        </w:rPr>
        <w:t>（3）加大巡查检查执法力度，对重点区域实行重点巡查检查，严厉查处禁燃区内露天焚烧秸秆行为。根据限烧区划定情况，按照网格化管理，确保网格内限烧区焚烧秸秆经审批监管无盲区。各乡镇要及时发现和制止违规露天焚烧秸秆行为。同时明确专人填写巡查台账，并向上级进行报告。巡查发现违规焚烧秸秆问题后，要及时开展调查，按照规定进行处理，并及时上报。</w:t>
      </w:r>
    </w:p>
    <w:p w14:paraId="69E3C62E">
      <w:pPr>
        <w:pStyle w:val="4"/>
        <w:rPr>
          <w:rFonts w:hint="default"/>
        </w:rPr>
      </w:pPr>
      <w:bookmarkStart w:id="72" w:name="_Toc19935"/>
      <w:r>
        <w:rPr>
          <w:rStyle w:val="22"/>
          <w:rFonts w:hint="default"/>
          <w:b/>
        </w:rPr>
        <w:t>4</w:t>
      </w:r>
      <w:r>
        <w:rPr>
          <w:rStyle w:val="22"/>
          <w:b/>
        </w:rPr>
        <w:t>.3管控保障措施</w:t>
      </w:r>
      <w:r>
        <w:t> </w:t>
      </w:r>
      <w:bookmarkEnd w:id="72"/>
    </w:p>
    <w:p w14:paraId="211C44B8">
      <w:pPr>
        <w:ind w:firstLine="560" w:firstLineChars="200"/>
      </w:pPr>
      <w:r>
        <w:rPr>
          <w:rFonts w:hint="eastAsia"/>
        </w:rPr>
        <w:t>（1）科学设立网格，安排人员开展巡查处置工作，确保不发生火情。</w:t>
      </w:r>
    </w:p>
    <w:p w14:paraId="13B4388C">
      <w:pPr>
        <w:ind w:firstLine="560" w:firstLineChars="200"/>
      </w:pPr>
      <w:r>
        <w:rPr>
          <w:rFonts w:hint="eastAsia"/>
        </w:rPr>
        <w:t>（2）秸秆限烧区设置显示限烧区范围及限烧管控要求的警示牌，在特定时间，特定范围由村（社区）统一向乡镇场申报，经批准后由村组织在村干部或网格员的监督下开展有秩序的焚烧秸秆，并将审批情况分别上报邵阳市生态环境局邵阳县分局、邵阳县农业农村局。</w:t>
      </w:r>
    </w:p>
    <w:p w14:paraId="714E88D8">
      <w:pPr>
        <w:ind w:firstLine="560" w:firstLineChars="200"/>
      </w:pPr>
      <w:r>
        <w:rPr>
          <w:rFonts w:hint="eastAsia"/>
        </w:rPr>
        <w:t>（3）重点管控时段安排禁烧宣传员，对秸秆禁烧的政策法律法规以及严厉的处罚措施进行宣讲。</w:t>
      </w:r>
    </w:p>
    <w:p w14:paraId="289E02A7">
      <w:pPr>
        <w:pStyle w:val="3"/>
      </w:pPr>
      <w:bookmarkStart w:id="73" w:name="_Toc15629"/>
      <w:bookmarkStart w:id="74" w:name="_Toc16866"/>
      <w:r>
        <w:t>4</w:t>
      </w:r>
      <w:r>
        <w:rPr>
          <w:rFonts w:hint="eastAsia"/>
        </w:rPr>
        <w:t>.4 秸秆离田管理措施</w:t>
      </w:r>
      <w:bookmarkEnd w:id="73"/>
      <w:bookmarkEnd w:id="74"/>
    </w:p>
    <w:p w14:paraId="57201E81">
      <w:pPr>
        <w:ind w:firstLine="560" w:firstLineChars="200"/>
      </w:pPr>
      <w:r>
        <w:rPr>
          <w:rFonts w:hint="eastAsia"/>
        </w:rPr>
        <w:t>（1）大力推广秸秆捡拾打捆、离田机械化作业技术，认真做好秸秆离田、集中清运工作，通过秸秆离田解决秸秆禁烧难题。</w:t>
      </w:r>
    </w:p>
    <w:p w14:paraId="1968CCA9">
      <w:pPr>
        <w:ind w:firstLine="560" w:firstLineChars="200"/>
      </w:pPr>
      <w:r>
        <w:rPr>
          <w:rFonts w:hint="eastAsia"/>
        </w:rPr>
        <w:t>（2）加大秸秆还田工作力度，大力推广秸秆覆盖还田保护性耕作、玉米秸秆深翻还田等技术，提高还田质量，鼓励农民把秸秆就地转化利用。</w:t>
      </w:r>
    </w:p>
    <w:p w14:paraId="2A02E815">
      <w:pPr>
        <w:ind w:firstLine="560" w:firstLineChars="200"/>
      </w:pPr>
      <w:r>
        <w:rPr>
          <w:rFonts w:hint="eastAsia"/>
        </w:rPr>
        <w:t>（3）积极动员开展秸秆肥料化、饲料化、燃料化、基料化、原料化利用，变废为宝，提高秸秆综合利用率。</w:t>
      </w:r>
    </w:p>
    <w:p w14:paraId="7D998916">
      <w:pPr>
        <w:pStyle w:val="3"/>
      </w:pPr>
      <w:bookmarkStart w:id="75" w:name="_Toc4725"/>
      <w:r>
        <w:t>4</w:t>
      </w:r>
      <w:r>
        <w:rPr>
          <w:rFonts w:hint="eastAsia"/>
        </w:rPr>
        <w:t>.5 禁烧区管理规定</w:t>
      </w:r>
      <w:bookmarkEnd w:id="75"/>
    </w:p>
    <w:p w14:paraId="52F28F70">
      <w:pPr>
        <w:ind w:firstLine="560" w:firstLineChars="200"/>
        <w:rPr>
          <w:rFonts w:hint="eastAsia"/>
        </w:rPr>
      </w:pPr>
      <w:r>
        <w:rPr>
          <w:rFonts w:hint="eastAsia"/>
        </w:rPr>
        <w:t>根据相关秸秆禁烧相关法律法规条款，在秸秆禁烧范围内或在限烧区禁烧时段露天焚烧秸秆的行为，会得到相应的处罚。</w:t>
      </w:r>
    </w:p>
    <w:p w14:paraId="607BCD7A">
      <w:pPr>
        <w:ind w:firstLine="560" w:firstLineChars="200"/>
        <w:rPr>
          <w:rFonts w:hint="eastAsia"/>
        </w:rPr>
      </w:pPr>
      <w:r>
        <w:rPr>
          <w:rFonts w:hint="eastAsia"/>
        </w:rPr>
        <w:t>1、《中华人民共和国大气污染防治法》第一百一十九条规定，露天焚烧秸秆、落叶、杂草、垃圾等产生烟尘污染物质的，由县级以上地方人民政府确定的监督管理部门责令改正，并可以处五百元以上二千元以下的罚款。情节严重的由公安机关依法予以治安管理处罚；构成犯罪的，依法追究刑事责任。</w:t>
      </w:r>
    </w:p>
    <w:p w14:paraId="46EEB023">
      <w:pPr>
        <w:ind w:firstLine="560" w:firstLineChars="200"/>
        <w:rPr>
          <w:rFonts w:hint="eastAsia"/>
        </w:rPr>
      </w:pPr>
      <w:r>
        <w:rPr>
          <w:rFonts w:hint="eastAsia"/>
        </w:rPr>
        <w:t>2、依据《邵阳市乡村清洁条例》第十七条第五款规定，任何单位和个人不得破坏乡村清洁，禁止焚烧垃圾及露天焚烧秸秆、落叶等。</w:t>
      </w:r>
    </w:p>
    <w:p w14:paraId="4F2DF3F9">
      <w:pPr>
        <w:rPr>
          <w:rFonts w:hint="eastAsia"/>
        </w:rPr>
      </w:pPr>
      <w:r>
        <w:rPr>
          <w:rFonts w:hint="eastAsia"/>
        </w:rPr>
        <w:t>第十九条规定，违反本条例第十七条规定，焚烧垃圾及焚烧露天秸秆、落叶等的，由县级以上人民政府生态环境主管部门责令停止违法行为，没收违法所得，对单位处五万元以上五十万元以下的罚款，对个人处五百元以上二千元以下的罚款。乡镇人民政府按照有关法律法律规定开展相对集中行政处罚权工作的，由乡镇人民政府行驶行政处罚权。</w:t>
      </w:r>
    </w:p>
    <w:p w14:paraId="74D8E4B0">
      <w:pPr>
        <w:ind w:firstLine="560" w:firstLineChars="200"/>
      </w:pPr>
      <w:r>
        <w:rPr>
          <w:rFonts w:hint="eastAsia"/>
        </w:rPr>
        <w:t>本方案自公布之日起执行。</w:t>
      </w:r>
    </w:p>
    <w:p w14:paraId="366B2F50">
      <w:pPr>
        <w:tabs>
          <w:tab w:val="center" w:pos="4213"/>
          <w:tab w:val="right" w:pos="8306"/>
        </w:tabs>
        <w:spacing w:line="240" w:lineRule="atLeast"/>
        <w:jc w:val="center"/>
        <w:textAlignment w:val="baseline"/>
        <w:rPr>
          <w:rFonts w:ascii="仿宋" w:hAnsi="仿宋" w:eastAsia="仿宋" w:cs="仿宋"/>
          <w:szCs w:val="28"/>
        </w:rPr>
      </w:pPr>
    </w:p>
    <w:p w14:paraId="67972D4A">
      <w:pPr>
        <w:tabs>
          <w:tab w:val="center" w:pos="4213"/>
          <w:tab w:val="right" w:pos="8306"/>
        </w:tabs>
        <w:spacing w:line="240" w:lineRule="atLeast"/>
        <w:jc w:val="center"/>
        <w:textAlignment w:val="baseline"/>
        <w:rPr>
          <w:rFonts w:ascii="仿宋" w:hAnsi="仿宋" w:eastAsia="仿宋" w:cs="仿宋"/>
          <w:szCs w:val="28"/>
        </w:rPr>
      </w:pPr>
    </w:p>
    <w:p w14:paraId="3A83BC52">
      <w:pPr>
        <w:tabs>
          <w:tab w:val="center" w:pos="4213"/>
          <w:tab w:val="right" w:pos="8306"/>
        </w:tabs>
        <w:spacing w:line="240" w:lineRule="atLeast"/>
        <w:jc w:val="center"/>
        <w:textAlignment w:val="baseline"/>
        <w:rPr>
          <w:rFonts w:ascii="仿宋" w:hAnsi="仿宋" w:eastAsia="仿宋" w:cs="仿宋"/>
          <w:szCs w:val="28"/>
        </w:rPr>
      </w:pPr>
    </w:p>
    <w:p w14:paraId="73910643">
      <w:pPr>
        <w:tabs>
          <w:tab w:val="center" w:pos="4213"/>
          <w:tab w:val="right" w:pos="8306"/>
        </w:tabs>
        <w:spacing w:line="240" w:lineRule="atLeast"/>
        <w:jc w:val="center"/>
        <w:textAlignment w:val="baseline"/>
        <w:rPr>
          <w:rFonts w:ascii="仿宋" w:hAnsi="仿宋" w:eastAsia="仿宋" w:cs="仿宋"/>
          <w:szCs w:val="28"/>
        </w:rPr>
      </w:pPr>
    </w:p>
    <w:p w14:paraId="6AD0C0AA">
      <w:pPr>
        <w:tabs>
          <w:tab w:val="center" w:pos="4213"/>
          <w:tab w:val="right" w:pos="8306"/>
        </w:tabs>
        <w:spacing w:line="240" w:lineRule="atLeast"/>
        <w:jc w:val="center"/>
        <w:textAlignment w:val="baseline"/>
        <w:rPr>
          <w:rFonts w:ascii="仿宋" w:hAnsi="仿宋" w:eastAsia="仿宋" w:cs="仿宋"/>
          <w:szCs w:val="28"/>
        </w:rPr>
      </w:pPr>
    </w:p>
    <w:p w14:paraId="1378FF94">
      <w:pPr>
        <w:tabs>
          <w:tab w:val="center" w:pos="4213"/>
          <w:tab w:val="right" w:pos="8306"/>
        </w:tabs>
        <w:spacing w:line="240" w:lineRule="atLeast"/>
        <w:jc w:val="center"/>
        <w:textAlignment w:val="baseline"/>
        <w:rPr>
          <w:rFonts w:ascii="仿宋" w:hAnsi="仿宋" w:eastAsia="仿宋" w:cs="仿宋"/>
          <w:szCs w:val="28"/>
        </w:rPr>
      </w:pPr>
    </w:p>
    <w:p w14:paraId="4FAF5E85">
      <w:pPr>
        <w:tabs>
          <w:tab w:val="center" w:pos="4213"/>
          <w:tab w:val="right" w:pos="8306"/>
        </w:tabs>
        <w:spacing w:line="240" w:lineRule="atLeast"/>
        <w:jc w:val="center"/>
        <w:textAlignment w:val="baseline"/>
        <w:rPr>
          <w:rFonts w:ascii="仿宋" w:hAnsi="仿宋" w:eastAsia="仿宋" w:cs="仿宋"/>
          <w:szCs w:val="28"/>
        </w:rPr>
      </w:pPr>
    </w:p>
    <w:p w14:paraId="2EEA8D57">
      <w:pPr>
        <w:tabs>
          <w:tab w:val="center" w:pos="4213"/>
          <w:tab w:val="right" w:pos="8306"/>
        </w:tabs>
        <w:spacing w:line="240" w:lineRule="atLeast"/>
        <w:jc w:val="center"/>
        <w:textAlignment w:val="baseline"/>
        <w:rPr>
          <w:rFonts w:ascii="仿宋" w:hAnsi="仿宋" w:eastAsia="仿宋" w:cs="仿宋"/>
          <w:szCs w:val="28"/>
        </w:rPr>
      </w:pPr>
    </w:p>
    <w:p w14:paraId="63971362">
      <w:pPr>
        <w:tabs>
          <w:tab w:val="center" w:pos="4213"/>
          <w:tab w:val="right" w:pos="8306"/>
        </w:tabs>
        <w:spacing w:line="240" w:lineRule="atLeast"/>
        <w:jc w:val="center"/>
        <w:textAlignment w:val="baseline"/>
        <w:rPr>
          <w:rFonts w:ascii="仿宋" w:hAnsi="仿宋" w:eastAsia="仿宋" w:cs="仿宋"/>
          <w:szCs w:val="28"/>
        </w:rPr>
      </w:pPr>
    </w:p>
    <w:p w14:paraId="033BFECB">
      <w:pPr>
        <w:tabs>
          <w:tab w:val="center" w:pos="4213"/>
          <w:tab w:val="right" w:pos="8306"/>
        </w:tabs>
        <w:spacing w:line="240" w:lineRule="atLeast"/>
        <w:ind w:firstLine="5040" w:firstLineChars="1800"/>
        <w:textAlignment w:val="baseline"/>
        <w:rPr>
          <w:rFonts w:ascii="仿宋" w:hAnsi="仿宋" w:eastAsia="仿宋" w:cs="仿宋"/>
          <w:szCs w:val="28"/>
        </w:rPr>
      </w:pPr>
      <w:r>
        <w:rPr>
          <w:rFonts w:hint="eastAsia" w:ascii="仿宋" w:hAnsi="仿宋" w:eastAsia="仿宋" w:cs="仿宋"/>
          <w:szCs w:val="28"/>
        </w:rPr>
        <w:t>邵阳县人民政府</w:t>
      </w:r>
    </w:p>
    <w:p w14:paraId="176FD33E">
      <w:pPr>
        <w:tabs>
          <w:tab w:val="center" w:pos="4213"/>
          <w:tab w:val="right" w:pos="8306"/>
        </w:tabs>
        <w:wordWrap w:val="0"/>
        <w:spacing w:line="240" w:lineRule="atLeast"/>
        <w:jc w:val="right"/>
        <w:textAlignment w:val="baseline"/>
        <w:rPr>
          <w:rFonts w:ascii="仿宋" w:hAnsi="仿宋" w:eastAsia="仿宋" w:cs="仿宋"/>
          <w:szCs w:val="28"/>
        </w:rPr>
      </w:pPr>
      <w:r>
        <w:rPr>
          <w:rFonts w:hint="eastAsia" w:ascii="仿宋" w:hAnsi="仿宋" w:eastAsia="仿宋" w:cs="仿宋"/>
          <w:szCs w:val="28"/>
        </w:rPr>
        <w:t>2025年</w:t>
      </w:r>
      <w:r>
        <w:rPr>
          <w:rFonts w:hint="eastAsia" w:ascii="仿宋" w:hAnsi="仿宋" w:eastAsia="仿宋" w:cs="仿宋"/>
          <w:szCs w:val="28"/>
          <w:lang w:val="en-US" w:eastAsia="zh-CN"/>
        </w:rPr>
        <w:t>5</w:t>
      </w:r>
      <w:r>
        <w:rPr>
          <w:rFonts w:hint="eastAsia" w:ascii="仿宋" w:hAnsi="仿宋" w:eastAsia="仿宋" w:cs="仿宋"/>
          <w:szCs w:val="28"/>
        </w:rPr>
        <w:t xml:space="preserve">月 </w:t>
      </w:r>
      <w:r>
        <w:rPr>
          <w:rFonts w:hint="eastAsia" w:ascii="仿宋" w:hAnsi="仿宋" w:eastAsia="仿宋" w:cs="仿宋"/>
          <w:szCs w:val="28"/>
          <w:lang w:val="en-US" w:eastAsia="zh-CN"/>
        </w:rPr>
        <w:t>9</w:t>
      </w:r>
      <w:r>
        <w:rPr>
          <w:rFonts w:hint="eastAsia" w:ascii="仿宋" w:hAnsi="仿宋" w:eastAsia="仿宋" w:cs="仿宋"/>
          <w:szCs w:val="28"/>
        </w:rPr>
        <w:t xml:space="preserve"> 日       </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9D58123-4729-491B-830D-BEFA4CF7B6B1}"/>
  </w:font>
  <w:font w:name="黑体">
    <w:panose1 w:val="02010609060101010101"/>
    <w:charset w:val="86"/>
    <w:family w:val="auto"/>
    <w:pitch w:val="default"/>
    <w:sig w:usb0="800002BF" w:usb1="38CF7CFA" w:usb2="00000016" w:usb3="00000000" w:csb0="00040001" w:csb1="00000000"/>
    <w:embedRegular r:id="rId2" w:fontKey="{16163D83-C8F0-4E0B-9B15-49650D78E6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00FFAA07-A858-4109-91DE-6D16953AEAE6}"/>
  </w:font>
  <w:font w:name="仿宋">
    <w:panose1 w:val="02010609060101010101"/>
    <w:charset w:val="86"/>
    <w:family w:val="modern"/>
    <w:pitch w:val="default"/>
    <w:sig w:usb0="800002BF" w:usb1="38CF7CFA" w:usb2="00000016" w:usb3="00000000" w:csb0="00040001" w:csb1="00000000"/>
    <w:embedRegular r:id="rId4" w:fontKey="{5294EEDF-5B75-4FBB-AAB4-F15544ADBCC0}"/>
  </w:font>
  <w:font w:name="仿宋_GB2312">
    <w:altName w:val="仿宋"/>
    <w:panose1 w:val="02010609030101010101"/>
    <w:charset w:val="86"/>
    <w:family w:val="modern"/>
    <w:pitch w:val="default"/>
    <w:sig w:usb0="00000000" w:usb1="00000000" w:usb2="00000000" w:usb3="00000000" w:csb0="00040000" w:csb1="00000000"/>
    <w:embedRegular r:id="rId5" w:fontKey="{1C328291-4EF7-4EF8-821C-2A38F35DD733}"/>
  </w:font>
  <w:font w:name="方正小标宋简体">
    <w:panose1 w:val="02000000000000000000"/>
    <w:charset w:val="86"/>
    <w:family w:val="auto"/>
    <w:pitch w:val="default"/>
    <w:sig w:usb0="00000001" w:usb1="08000000" w:usb2="00000000" w:usb3="00000000" w:csb0="00040000" w:csb1="00000000"/>
    <w:embedRegular r:id="rId6" w:fontKey="{C5F33A43-F7C5-4652-821E-FE11FE5F7C19}"/>
  </w:font>
  <w:font w:name="方正隶书简体">
    <w:altName w:val="宋体"/>
    <w:panose1 w:val="00000000000000000000"/>
    <w:charset w:val="86"/>
    <w:family w:val="auto"/>
    <w:pitch w:val="default"/>
    <w:sig w:usb0="00000000" w:usb1="00000000" w:usb2="00000000" w:usb3="00000000" w:csb0="00040000" w:csb1="00000000"/>
    <w:embedRegular r:id="rId7" w:fontKey="{67DA1230-3B85-4732-8E75-9191C242F5F3}"/>
  </w:font>
  <w:font w:name="方正仿宋_GBK">
    <w:panose1 w:val="02000000000000000000"/>
    <w:charset w:val="86"/>
    <w:family w:val="script"/>
    <w:pitch w:val="default"/>
    <w:sig w:usb0="A00002BF" w:usb1="38CF7CFA" w:usb2="00082016" w:usb3="00000000" w:csb0="00040001" w:csb1="00000000"/>
    <w:embedRegular r:id="rId8" w:fontKey="{8ABED3C2-006F-4486-BC8B-37A359F945A7}"/>
  </w:font>
  <w:font w:name="楷体_GB2312">
    <w:panose1 w:val="02010609030101010101"/>
    <w:charset w:val="86"/>
    <w:family w:val="modern"/>
    <w:pitch w:val="default"/>
    <w:sig w:usb0="00000001" w:usb1="080E0000" w:usb2="00000000" w:usb3="00000000" w:csb0="00040000" w:csb1="00000000"/>
    <w:embedRegular r:id="rId9" w:fontKey="{5C01BEC2-6B5E-44FA-93B5-AC9BABEBBCD3}"/>
  </w:font>
  <w:font w:name="新宋体">
    <w:panose1 w:val="02010609030101010101"/>
    <w:charset w:val="86"/>
    <w:family w:val="modern"/>
    <w:pitch w:val="default"/>
    <w:sig w:usb0="00000283" w:usb1="288F0000" w:usb2="00000006" w:usb3="00000000" w:csb0="00040001" w:csb1="00000000"/>
    <w:embedRegular r:id="rId10" w:fontKey="{A5EE9801-49BB-4CE8-88C2-8FBF466FF7C8}"/>
  </w:font>
  <w:font w:name="Segoe UI">
    <w:panose1 w:val="020B0502040204020203"/>
    <w:charset w:val="00"/>
    <w:family w:val="swiss"/>
    <w:pitch w:val="default"/>
    <w:sig w:usb0="E4002EFF" w:usb1="C000E47F" w:usb2="00000009" w:usb3="00000000" w:csb0="200001FF" w:csb1="00000000"/>
    <w:embedRegular r:id="rId11" w:fontKey="{6675B62F-7AEC-421B-844C-C987C000F4CC}"/>
  </w:font>
  <w:font w:name="微软雅黑">
    <w:panose1 w:val="020B0503020204020204"/>
    <w:charset w:val="86"/>
    <w:family w:val="swiss"/>
    <w:pitch w:val="default"/>
    <w:sig w:usb0="80000287" w:usb1="2ACF3C50" w:usb2="00000016" w:usb3="00000000" w:csb0="0004001F" w:csb1="00000000"/>
    <w:embedRegular r:id="rId12" w:fontKey="{313AEC52-AECD-4723-BCBE-BCC4D3DC93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408B2B">
    <w:pPr>
      <w:pStyle w:val="13"/>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749CB">
    <w:pPr>
      <w:pStyle w:val="13"/>
      <w:ind w:firstLine="360"/>
      <w:jc w:val="center"/>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path/>
          <v:fill on="f" focussize="0,0"/>
          <v:stroke on="f" weight="0.5pt" joinstyle="miter"/>
          <v:imagedata o:title=""/>
          <o:lock v:ext="edit"/>
          <v:textbox inset="0mm,0mm,0mm,0mm" style="mso-fit-shape-to-text:t;">
            <w:txbxContent>
              <w:p w14:paraId="4A9AA670">
                <w:pPr>
                  <w:pStyle w:val="13"/>
                </w:pPr>
                <w:r>
                  <w:fldChar w:fldCharType="begin"/>
                </w:r>
                <w:r>
                  <w:instrText xml:space="preserve"> PAGE  \* MERGEFORMAT </w:instrText>
                </w:r>
                <w:r>
                  <w:fldChar w:fldCharType="separate"/>
                </w:r>
                <w:r>
                  <w:t>1</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012049"/>
    <w:multiLevelType w:val="singleLevel"/>
    <w:tmpl w:val="D8012049"/>
    <w:lvl w:ilvl="0" w:tentative="0">
      <w:start w:val="1"/>
      <w:numFmt w:val="decimal"/>
      <w:lvlText w:val="%1."/>
      <w:lvlJc w:val="left"/>
      <w:pPr>
        <w:tabs>
          <w:tab w:val="left" w:pos="312"/>
        </w:tabs>
      </w:pPr>
    </w:lvl>
  </w:abstractNum>
  <w:abstractNum w:abstractNumId="1">
    <w:nsid w:val="EB8B3B48"/>
    <w:multiLevelType w:val="singleLevel"/>
    <w:tmpl w:val="EB8B3B48"/>
    <w:lvl w:ilvl="0" w:tentative="0">
      <w:start w:val="2"/>
      <w:numFmt w:val="chineseCounting"/>
      <w:suff w:val="space"/>
      <w:lvlText w:val="第%1章"/>
      <w:lvlJc w:val="left"/>
      <w:rPr>
        <w:rFonts w:hint="eastAsia"/>
      </w:rPr>
    </w:lvl>
  </w:abstractNum>
  <w:abstractNum w:abstractNumId="2">
    <w:nsid w:val="0EC0A559"/>
    <w:multiLevelType w:val="singleLevel"/>
    <w:tmpl w:val="0EC0A559"/>
    <w:lvl w:ilvl="0" w:tentative="0">
      <w:start w:val="4"/>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ViYjg0NTU0N2Q5ODI2ZmM5NDczZTUxM2QxZGQwYjMifQ=="/>
  </w:docVars>
  <w:rsids>
    <w:rsidRoot w:val="46BF0B4A"/>
    <w:rsid w:val="000C29D4"/>
    <w:rsid w:val="001C048E"/>
    <w:rsid w:val="001E5C9A"/>
    <w:rsid w:val="0022322F"/>
    <w:rsid w:val="00352C00"/>
    <w:rsid w:val="0046375D"/>
    <w:rsid w:val="005719AE"/>
    <w:rsid w:val="007F1F08"/>
    <w:rsid w:val="008C2704"/>
    <w:rsid w:val="00901A9C"/>
    <w:rsid w:val="00920750"/>
    <w:rsid w:val="00920DA8"/>
    <w:rsid w:val="009550EE"/>
    <w:rsid w:val="009E5347"/>
    <w:rsid w:val="00BA598B"/>
    <w:rsid w:val="00BC1CD6"/>
    <w:rsid w:val="00D5336C"/>
    <w:rsid w:val="00E21DE9"/>
    <w:rsid w:val="011C626C"/>
    <w:rsid w:val="01282E62"/>
    <w:rsid w:val="016C71F3"/>
    <w:rsid w:val="016F0A91"/>
    <w:rsid w:val="01EE7C08"/>
    <w:rsid w:val="025F0B06"/>
    <w:rsid w:val="0273635F"/>
    <w:rsid w:val="02B8562E"/>
    <w:rsid w:val="03465822"/>
    <w:rsid w:val="037B0103"/>
    <w:rsid w:val="03A204DD"/>
    <w:rsid w:val="04447FB3"/>
    <w:rsid w:val="04455AD9"/>
    <w:rsid w:val="04C96823"/>
    <w:rsid w:val="051A6F66"/>
    <w:rsid w:val="0546443D"/>
    <w:rsid w:val="05602200"/>
    <w:rsid w:val="05B35ABD"/>
    <w:rsid w:val="05DB66F5"/>
    <w:rsid w:val="05F45A09"/>
    <w:rsid w:val="05F9501C"/>
    <w:rsid w:val="062A4F87"/>
    <w:rsid w:val="06394683"/>
    <w:rsid w:val="064C314F"/>
    <w:rsid w:val="06581AF4"/>
    <w:rsid w:val="066A0F99"/>
    <w:rsid w:val="07C02047"/>
    <w:rsid w:val="07D24F8D"/>
    <w:rsid w:val="07D258D6"/>
    <w:rsid w:val="08231B69"/>
    <w:rsid w:val="08843074"/>
    <w:rsid w:val="08D15AEA"/>
    <w:rsid w:val="08E950BD"/>
    <w:rsid w:val="090B72F2"/>
    <w:rsid w:val="0925394C"/>
    <w:rsid w:val="097F6D66"/>
    <w:rsid w:val="09953C9D"/>
    <w:rsid w:val="09E031CD"/>
    <w:rsid w:val="09ED2E9B"/>
    <w:rsid w:val="0A3208AE"/>
    <w:rsid w:val="0A3E36F7"/>
    <w:rsid w:val="0A693121"/>
    <w:rsid w:val="0B226B74"/>
    <w:rsid w:val="0BC639A4"/>
    <w:rsid w:val="0C4260F2"/>
    <w:rsid w:val="0C482DA4"/>
    <w:rsid w:val="0C9E047D"/>
    <w:rsid w:val="0D0A633E"/>
    <w:rsid w:val="0D400DBB"/>
    <w:rsid w:val="0DCC3295"/>
    <w:rsid w:val="0E227BFB"/>
    <w:rsid w:val="0E3B2427"/>
    <w:rsid w:val="0E511C4A"/>
    <w:rsid w:val="0E6B25E0"/>
    <w:rsid w:val="0EA16002"/>
    <w:rsid w:val="0EAD2BF9"/>
    <w:rsid w:val="0ED91C40"/>
    <w:rsid w:val="0F0547E3"/>
    <w:rsid w:val="0F346E76"/>
    <w:rsid w:val="0F5337A0"/>
    <w:rsid w:val="0F71399A"/>
    <w:rsid w:val="0F9A317D"/>
    <w:rsid w:val="0FB00BF3"/>
    <w:rsid w:val="10624CB7"/>
    <w:rsid w:val="10DD77C5"/>
    <w:rsid w:val="112E6273"/>
    <w:rsid w:val="116C28F7"/>
    <w:rsid w:val="117F6ACF"/>
    <w:rsid w:val="1193257A"/>
    <w:rsid w:val="11BB73DB"/>
    <w:rsid w:val="123553DF"/>
    <w:rsid w:val="126E269F"/>
    <w:rsid w:val="12711C38"/>
    <w:rsid w:val="1288550F"/>
    <w:rsid w:val="1331204B"/>
    <w:rsid w:val="13465FE5"/>
    <w:rsid w:val="136046DE"/>
    <w:rsid w:val="137913CC"/>
    <w:rsid w:val="13A323B1"/>
    <w:rsid w:val="141D3111"/>
    <w:rsid w:val="14270D58"/>
    <w:rsid w:val="142B4CEC"/>
    <w:rsid w:val="14404F43"/>
    <w:rsid w:val="146A5814"/>
    <w:rsid w:val="148C35EF"/>
    <w:rsid w:val="14AD3953"/>
    <w:rsid w:val="1562473D"/>
    <w:rsid w:val="1571672E"/>
    <w:rsid w:val="15897F1C"/>
    <w:rsid w:val="158A5A42"/>
    <w:rsid w:val="15BB209F"/>
    <w:rsid w:val="15DC6629"/>
    <w:rsid w:val="1653052A"/>
    <w:rsid w:val="166E0EC0"/>
    <w:rsid w:val="16921052"/>
    <w:rsid w:val="1706559C"/>
    <w:rsid w:val="17463BEB"/>
    <w:rsid w:val="175E4C88"/>
    <w:rsid w:val="1769695C"/>
    <w:rsid w:val="17773DA4"/>
    <w:rsid w:val="17AC6144"/>
    <w:rsid w:val="17EA008B"/>
    <w:rsid w:val="18316649"/>
    <w:rsid w:val="18666861"/>
    <w:rsid w:val="187F1162"/>
    <w:rsid w:val="189F7A56"/>
    <w:rsid w:val="18C33745"/>
    <w:rsid w:val="19322678"/>
    <w:rsid w:val="19636CD6"/>
    <w:rsid w:val="1981715C"/>
    <w:rsid w:val="19852DBC"/>
    <w:rsid w:val="19B17A41"/>
    <w:rsid w:val="19BB441C"/>
    <w:rsid w:val="19D47AF5"/>
    <w:rsid w:val="1A4E294D"/>
    <w:rsid w:val="1A562397"/>
    <w:rsid w:val="1A806E3C"/>
    <w:rsid w:val="1A864A2A"/>
    <w:rsid w:val="1A872550"/>
    <w:rsid w:val="1AD339E7"/>
    <w:rsid w:val="1AF04599"/>
    <w:rsid w:val="1B1A1616"/>
    <w:rsid w:val="1B522B5E"/>
    <w:rsid w:val="1B6D5BEA"/>
    <w:rsid w:val="1B852F33"/>
    <w:rsid w:val="1B966EEF"/>
    <w:rsid w:val="1BB3482F"/>
    <w:rsid w:val="1CBB4733"/>
    <w:rsid w:val="1D460656"/>
    <w:rsid w:val="1D4E55A7"/>
    <w:rsid w:val="1D7C3EC2"/>
    <w:rsid w:val="1D840FC9"/>
    <w:rsid w:val="1D90796E"/>
    <w:rsid w:val="1DAD0520"/>
    <w:rsid w:val="1DCD0BC2"/>
    <w:rsid w:val="1E2F362A"/>
    <w:rsid w:val="1E6C0F65"/>
    <w:rsid w:val="1E9A4F48"/>
    <w:rsid w:val="1EAE552F"/>
    <w:rsid w:val="1EC2624D"/>
    <w:rsid w:val="1F775289"/>
    <w:rsid w:val="1FE10954"/>
    <w:rsid w:val="1FF24910"/>
    <w:rsid w:val="1FF870A7"/>
    <w:rsid w:val="2007660D"/>
    <w:rsid w:val="201F4D09"/>
    <w:rsid w:val="20256A93"/>
    <w:rsid w:val="20360CA0"/>
    <w:rsid w:val="206E043A"/>
    <w:rsid w:val="207B481B"/>
    <w:rsid w:val="20937EA1"/>
    <w:rsid w:val="20F63F8C"/>
    <w:rsid w:val="21442F49"/>
    <w:rsid w:val="216E6218"/>
    <w:rsid w:val="2188552B"/>
    <w:rsid w:val="224D407F"/>
    <w:rsid w:val="22530E55"/>
    <w:rsid w:val="228A52D3"/>
    <w:rsid w:val="22AD4B1E"/>
    <w:rsid w:val="22C97BAA"/>
    <w:rsid w:val="22EF58B9"/>
    <w:rsid w:val="22FA4207"/>
    <w:rsid w:val="2309444A"/>
    <w:rsid w:val="233420B8"/>
    <w:rsid w:val="2352124C"/>
    <w:rsid w:val="235F3894"/>
    <w:rsid w:val="23671171"/>
    <w:rsid w:val="23720241"/>
    <w:rsid w:val="23A221A9"/>
    <w:rsid w:val="24211873"/>
    <w:rsid w:val="248C5333"/>
    <w:rsid w:val="24AA060D"/>
    <w:rsid w:val="24CD14A7"/>
    <w:rsid w:val="24E0567E"/>
    <w:rsid w:val="24E36643"/>
    <w:rsid w:val="24FE78B3"/>
    <w:rsid w:val="250C33C3"/>
    <w:rsid w:val="25237528"/>
    <w:rsid w:val="2593449F"/>
    <w:rsid w:val="25B74631"/>
    <w:rsid w:val="25E32B9B"/>
    <w:rsid w:val="25E66CC5"/>
    <w:rsid w:val="25F34F3E"/>
    <w:rsid w:val="25F82554"/>
    <w:rsid w:val="25FA2770"/>
    <w:rsid w:val="26031625"/>
    <w:rsid w:val="26220F83"/>
    <w:rsid w:val="2641214D"/>
    <w:rsid w:val="26597496"/>
    <w:rsid w:val="266B0F78"/>
    <w:rsid w:val="26A05BAF"/>
    <w:rsid w:val="26C2328E"/>
    <w:rsid w:val="26C37006"/>
    <w:rsid w:val="27127645"/>
    <w:rsid w:val="274A3283"/>
    <w:rsid w:val="278319F6"/>
    <w:rsid w:val="279A1B15"/>
    <w:rsid w:val="27C2106B"/>
    <w:rsid w:val="27E45486"/>
    <w:rsid w:val="281F201A"/>
    <w:rsid w:val="28213FE4"/>
    <w:rsid w:val="28836A4D"/>
    <w:rsid w:val="28A569C3"/>
    <w:rsid w:val="28C606E7"/>
    <w:rsid w:val="291E6775"/>
    <w:rsid w:val="293E28C1"/>
    <w:rsid w:val="2982551C"/>
    <w:rsid w:val="299041AF"/>
    <w:rsid w:val="299627B0"/>
    <w:rsid w:val="29BB5D72"/>
    <w:rsid w:val="2A3E6896"/>
    <w:rsid w:val="2A465E57"/>
    <w:rsid w:val="2AB32EED"/>
    <w:rsid w:val="2B084FE7"/>
    <w:rsid w:val="2B4C581C"/>
    <w:rsid w:val="2B762899"/>
    <w:rsid w:val="2CA64AB8"/>
    <w:rsid w:val="2CAF6062"/>
    <w:rsid w:val="2D4D7629"/>
    <w:rsid w:val="2D9D5B09"/>
    <w:rsid w:val="2DE81100"/>
    <w:rsid w:val="2E67471B"/>
    <w:rsid w:val="2E8C4181"/>
    <w:rsid w:val="2E960B5C"/>
    <w:rsid w:val="2EBE07DF"/>
    <w:rsid w:val="2EC14290"/>
    <w:rsid w:val="2F3F11F4"/>
    <w:rsid w:val="2F4131BE"/>
    <w:rsid w:val="2F7C5FA4"/>
    <w:rsid w:val="2FA12DB4"/>
    <w:rsid w:val="301B57BD"/>
    <w:rsid w:val="302A5A00"/>
    <w:rsid w:val="30372325"/>
    <w:rsid w:val="3091782D"/>
    <w:rsid w:val="30A04FAC"/>
    <w:rsid w:val="30C776F3"/>
    <w:rsid w:val="30ED53AB"/>
    <w:rsid w:val="31083F93"/>
    <w:rsid w:val="31945786"/>
    <w:rsid w:val="31B22151"/>
    <w:rsid w:val="31FB58A6"/>
    <w:rsid w:val="320F4EAD"/>
    <w:rsid w:val="324E3C27"/>
    <w:rsid w:val="328B4E7C"/>
    <w:rsid w:val="32B83797"/>
    <w:rsid w:val="32BD6FFF"/>
    <w:rsid w:val="32EC3440"/>
    <w:rsid w:val="32FC18D5"/>
    <w:rsid w:val="33233306"/>
    <w:rsid w:val="336E0AD3"/>
    <w:rsid w:val="338D077F"/>
    <w:rsid w:val="33995376"/>
    <w:rsid w:val="339C6C14"/>
    <w:rsid w:val="33FB7DDF"/>
    <w:rsid w:val="342D5ABF"/>
    <w:rsid w:val="3474193F"/>
    <w:rsid w:val="348D31EC"/>
    <w:rsid w:val="34F8431E"/>
    <w:rsid w:val="34FF56AD"/>
    <w:rsid w:val="352E1AEE"/>
    <w:rsid w:val="35380AC0"/>
    <w:rsid w:val="354F177C"/>
    <w:rsid w:val="355F5CE3"/>
    <w:rsid w:val="35696FCA"/>
    <w:rsid w:val="356F45E2"/>
    <w:rsid w:val="35A304D7"/>
    <w:rsid w:val="35AB75E3"/>
    <w:rsid w:val="35D22DC1"/>
    <w:rsid w:val="363F1205"/>
    <w:rsid w:val="3699568D"/>
    <w:rsid w:val="36AD2EE7"/>
    <w:rsid w:val="36E0506A"/>
    <w:rsid w:val="374C0952"/>
    <w:rsid w:val="380C3ABF"/>
    <w:rsid w:val="3825542A"/>
    <w:rsid w:val="389425B0"/>
    <w:rsid w:val="38966328"/>
    <w:rsid w:val="38A50319"/>
    <w:rsid w:val="38C5276A"/>
    <w:rsid w:val="38CF5396"/>
    <w:rsid w:val="38F15A12"/>
    <w:rsid w:val="390C2146"/>
    <w:rsid w:val="391A41FD"/>
    <w:rsid w:val="391B05DB"/>
    <w:rsid w:val="3942200C"/>
    <w:rsid w:val="396E1053"/>
    <w:rsid w:val="39932868"/>
    <w:rsid w:val="39A047C1"/>
    <w:rsid w:val="39B36A66"/>
    <w:rsid w:val="39B36D64"/>
    <w:rsid w:val="3A133549"/>
    <w:rsid w:val="3A3000B7"/>
    <w:rsid w:val="3A361B71"/>
    <w:rsid w:val="3A887EF3"/>
    <w:rsid w:val="3AA34D2C"/>
    <w:rsid w:val="3AF37A62"/>
    <w:rsid w:val="3B111C96"/>
    <w:rsid w:val="3B390BF3"/>
    <w:rsid w:val="3B5F361A"/>
    <w:rsid w:val="3B702E61"/>
    <w:rsid w:val="3BBE5E16"/>
    <w:rsid w:val="3C3F0A85"/>
    <w:rsid w:val="3C8446EA"/>
    <w:rsid w:val="3CBE7BFC"/>
    <w:rsid w:val="3D3A1978"/>
    <w:rsid w:val="3D5757BF"/>
    <w:rsid w:val="3D605E5D"/>
    <w:rsid w:val="3D70539A"/>
    <w:rsid w:val="3D9161B3"/>
    <w:rsid w:val="3DE9514C"/>
    <w:rsid w:val="3E067AAC"/>
    <w:rsid w:val="3E1F46CA"/>
    <w:rsid w:val="3EE06708"/>
    <w:rsid w:val="3EED2A1A"/>
    <w:rsid w:val="3F1E0E25"/>
    <w:rsid w:val="3F23468E"/>
    <w:rsid w:val="3F4940F4"/>
    <w:rsid w:val="3F67457A"/>
    <w:rsid w:val="3F7D78FA"/>
    <w:rsid w:val="3FA94B93"/>
    <w:rsid w:val="40224945"/>
    <w:rsid w:val="4042742E"/>
    <w:rsid w:val="40495A89"/>
    <w:rsid w:val="40D45C40"/>
    <w:rsid w:val="40F967E8"/>
    <w:rsid w:val="412344D1"/>
    <w:rsid w:val="4162324B"/>
    <w:rsid w:val="419F2374"/>
    <w:rsid w:val="41A25D3E"/>
    <w:rsid w:val="41DA7286"/>
    <w:rsid w:val="41E06866"/>
    <w:rsid w:val="41E93FAA"/>
    <w:rsid w:val="41FF0A8B"/>
    <w:rsid w:val="42295A63"/>
    <w:rsid w:val="426E5C20"/>
    <w:rsid w:val="42AD6A0D"/>
    <w:rsid w:val="43016A94"/>
    <w:rsid w:val="43301127"/>
    <w:rsid w:val="4343237E"/>
    <w:rsid w:val="43546DE3"/>
    <w:rsid w:val="4369164B"/>
    <w:rsid w:val="43803E5D"/>
    <w:rsid w:val="43A55671"/>
    <w:rsid w:val="43D16250"/>
    <w:rsid w:val="43FB7987"/>
    <w:rsid w:val="441E71D2"/>
    <w:rsid w:val="443864E5"/>
    <w:rsid w:val="44A92F3F"/>
    <w:rsid w:val="45101210"/>
    <w:rsid w:val="45216F7A"/>
    <w:rsid w:val="452E5547"/>
    <w:rsid w:val="454E275B"/>
    <w:rsid w:val="45513550"/>
    <w:rsid w:val="457E0AB0"/>
    <w:rsid w:val="45C85647"/>
    <w:rsid w:val="45E85CE9"/>
    <w:rsid w:val="462C02CC"/>
    <w:rsid w:val="46827EEC"/>
    <w:rsid w:val="46BF0B4A"/>
    <w:rsid w:val="47144347"/>
    <w:rsid w:val="47266AC9"/>
    <w:rsid w:val="474D04FA"/>
    <w:rsid w:val="47791740"/>
    <w:rsid w:val="47B10A89"/>
    <w:rsid w:val="47CA1B4A"/>
    <w:rsid w:val="47D429C9"/>
    <w:rsid w:val="47F46BC7"/>
    <w:rsid w:val="48030BB8"/>
    <w:rsid w:val="480A1F47"/>
    <w:rsid w:val="481E59F2"/>
    <w:rsid w:val="48484614"/>
    <w:rsid w:val="484E4529"/>
    <w:rsid w:val="485A4D42"/>
    <w:rsid w:val="48733F90"/>
    <w:rsid w:val="48A405ED"/>
    <w:rsid w:val="48AC2FFE"/>
    <w:rsid w:val="49943A4D"/>
    <w:rsid w:val="49AE2DA6"/>
    <w:rsid w:val="49D15412"/>
    <w:rsid w:val="49E14F29"/>
    <w:rsid w:val="49EB7B56"/>
    <w:rsid w:val="4A01737A"/>
    <w:rsid w:val="4A031344"/>
    <w:rsid w:val="4A0A26D2"/>
    <w:rsid w:val="4A1878A4"/>
    <w:rsid w:val="4A7F338D"/>
    <w:rsid w:val="4ABF170F"/>
    <w:rsid w:val="4AC26B09"/>
    <w:rsid w:val="4AC62A9D"/>
    <w:rsid w:val="4B496EC4"/>
    <w:rsid w:val="4B531E57"/>
    <w:rsid w:val="4BC77EC8"/>
    <w:rsid w:val="4BE41F06"/>
    <w:rsid w:val="4BF32505"/>
    <w:rsid w:val="4C251A45"/>
    <w:rsid w:val="4C583BC9"/>
    <w:rsid w:val="4C765E24"/>
    <w:rsid w:val="4CB827BB"/>
    <w:rsid w:val="4CBF247D"/>
    <w:rsid w:val="4CF51418"/>
    <w:rsid w:val="4D7354EC"/>
    <w:rsid w:val="4DBC0187"/>
    <w:rsid w:val="4DDA23BB"/>
    <w:rsid w:val="4E6C0CAD"/>
    <w:rsid w:val="4E73509B"/>
    <w:rsid w:val="4F8B1E58"/>
    <w:rsid w:val="4FA24267"/>
    <w:rsid w:val="4FBB123C"/>
    <w:rsid w:val="508D5E0B"/>
    <w:rsid w:val="50A0169A"/>
    <w:rsid w:val="50D04064"/>
    <w:rsid w:val="50E03F0D"/>
    <w:rsid w:val="50ED2585"/>
    <w:rsid w:val="50F94038"/>
    <w:rsid w:val="510A120A"/>
    <w:rsid w:val="51141617"/>
    <w:rsid w:val="51155AAE"/>
    <w:rsid w:val="512C73D2"/>
    <w:rsid w:val="51325472"/>
    <w:rsid w:val="514E7348"/>
    <w:rsid w:val="51627B9F"/>
    <w:rsid w:val="51C26722"/>
    <w:rsid w:val="528A2602"/>
    <w:rsid w:val="52B068B3"/>
    <w:rsid w:val="52C80E8C"/>
    <w:rsid w:val="52E07BC5"/>
    <w:rsid w:val="534529CD"/>
    <w:rsid w:val="53AE0572"/>
    <w:rsid w:val="53B11E10"/>
    <w:rsid w:val="53F32429"/>
    <w:rsid w:val="54080A79"/>
    <w:rsid w:val="54CB77E9"/>
    <w:rsid w:val="54D538DD"/>
    <w:rsid w:val="54EF0E42"/>
    <w:rsid w:val="55197C6D"/>
    <w:rsid w:val="552D57E8"/>
    <w:rsid w:val="552D64D4"/>
    <w:rsid w:val="55805F3E"/>
    <w:rsid w:val="55B17EA6"/>
    <w:rsid w:val="55BD684B"/>
    <w:rsid w:val="55DF2C65"/>
    <w:rsid w:val="55F67FAE"/>
    <w:rsid w:val="55FA340B"/>
    <w:rsid w:val="562C684C"/>
    <w:rsid w:val="563F1955"/>
    <w:rsid w:val="564451BE"/>
    <w:rsid w:val="564B20A8"/>
    <w:rsid w:val="565C5375"/>
    <w:rsid w:val="56772E9D"/>
    <w:rsid w:val="56A63783"/>
    <w:rsid w:val="56A812A9"/>
    <w:rsid w:val="56C02A96"/>
    <w:rsid w:val="56C65BD3"/>
    <w:rsid w:val="56E9366F"/>
    <w:rsid w:val="57452F9B"/>
    <w:rsid w:val="578F2469"/>
    <w:rsid w:val="57961A49"/>
    <w:rsid w:val="57BC36F9"/>
    <w:rsid w:val="57C40364"/>
    <w:rsid w:val="57D1482F"/>
    <w:rsid w:val="57F97211"/>
    <w:rsid w:val="581B0677"/>
    <w:rsid w:val="584D5CBE"/>
    <w:rsid w:val="588548A0"/>
    <w:rsid w:val="589D0BB5"/>
    <w:rsid w:val="58A2547A"/>
    <w:rsid w:val="58AC2BA6"/>
    <w:rsid w:val="58AE4E58"/>
    <w:rsid w:val="58FC58DC"/>
    <w:rsid w:val="5919648E"/>
    <w:rsid w:val="595C154C"/>
    <w:rsid w:val="59837354"/>
    <w:rsid w:val="599B6DB6"/>
    <w:rsid w:val="59D46859"/>
    <w:rsid w:val="59E7658C"/>
    <w:rsid w:val="5A0F7891"/>
    <w:rsid w:val="5A667177"/>
    <w:rsid w:val="5A8B6F17"/>
    <w:rsid w:val="5AEE394A"/>
    <w:rsid w:val="5AFC7E15"/>
    <w:rsid w:val="5B0945B5"/>
    <w:rsid w:val="5B294982"/>
    <w:rsid w:val="5B61411C"/>
    <w:rsid w:val="5B8C5453"/>
    <w:rsid w:val="5C514191"/>
    <w:rsid w:val="5C814A76"/>
    <w:rsid w:val="5C88376F"/>
    <w:rsid w:val="5CEB6393"/>
    <w:rsid w:val="5DDB6408"/>
    <w:rsid w:val="5DF9329E"/>
    <w:rsid w:val="5E143DD3"/>
    <w:rsid w:val="5E547F68"/>
    <w:rsid w:val="5E5F0DE7"/>
    <w:rsid w:val="5EE20E9C"/>
    <w:rsid w:val="5EEC63F2"/>
    <w:rsid w:val="5F345B26"/>
    <w:rsid w:val="5F3B7ABA"/>
    <w:rsid w:val="5F7F2DC3"/>
    <w:rsid w:val="5F8B5C0B"/>
    <w:rsid w:val="601C6864"/>
    <w:rsid w:val="60BD4AFD"/>
    <w:rsid w:val="60C969EB"/>
    <w:rsid w:val="60E27AAD"/>
    <w:rsid w:val="61012A19"/>
    <w:rsid w:val="6102706E"/>
    <w:rsid w:val="62031A89"/>
    <w:rsid w:val="62532C70"/>
    <w:rsid w:val="62612C54"/>
    <w:rsid w:val="63052F68"/>
    <w:rsid w:val="631E3720"/>
    <w:rsid w:val="63691DC0"/>
    <w:rsid w:val="638B3D9F"/>
    <w:rsid w:val="6391592F"/>
    <w:rsid w:val="63A13A48"/>
    <w:rsid w:val="63B219B9"/>
    <w:rsid w:val="63CB2A7A"/>
    <w:rsid w:val="644D7933"/>
    <w:rsid w:val="64A77044"/>
    <w:rsid w:val="64B21544"/>
    <w:rsid w:val="64B61035"/>
    <w:rsid w:val="650C334B"/>
    <w:rsid w:val="650E12AA"/>
    <w:rsid w:val="652A557F"/>
    <w:rsid w:val="659550EE"/>
    <w:rsid w:val="65FC6F1B"/>
    <w:rsid w:val="660D2ED6"/>
    <w:rsid w:val="66E14363"/>
    <w:rsid w:val="66F127F8"/>
    <w:rsid w:val="676D0231"/>
    <w:rsid w:val="677551D7"/>
    <w:rsid w:val="67A07D7A"/>
    <w:rsid w:val="67CC6DC1"/>
    <w:rsid w:val="685C6397"/>
    <w:rsid w:val="68B41D2F"/>
    <w:rsid w:val="68EF0FB9"/>
    <w:rsid w:val="68F62348"/>
    <w:rsid w:val="69197DE4"/>
    <w:rsid w:val="69C02B47"/>
    <w:rsid w:val="6A246A40"/>
    <w:rsid w:val="6A260A0B"/>
    <w:rsid w:val="6A386C4E"/>
    <w:rsid w:val="6A5F3F1C"/>
    <w:rsid w:val="6A8F4802"/>
    <w:rsid w:val="6AAE45BB"/>
    <w:rsid w:val="6AB46016"/>
    <w:rsid w:val="6B225676"/>
    <w:rsid w:val="6B36373A"/>
    <w:rsid w:val="6B3D18AE"/>
    <w:rsid w:val="6BC16F6A"/>
    <w:rsid w:val="6BDA5F51"/>
    <w:rsid w:val="6BDF70C3"/>
    <w:rsid w:val="6C303DC2"/>
    <w:rsid w:val="6C8859AD"/>
    <w:rsid w:val="6C8B165E"/>
    <w:rsid w:val="6C9F5B5A"/>
    <w:rsid w:val="6CCA7D73"/>
    <w:rsid w:val="6CFA617E"/>
    <w:rsid w:val="6D082649"/>
    <w:rsid w:val="6D0D7296"/>
    <w:rsid w:val="6D844FBF"/>
    <w:rsid w:val="6D9C0FE4"/>
    <w:rsid w:val="6DA22A9E"/>
    <w:rsid w:val="6DC347C2"/>
    <w:rsid w:val="6DD62748"/>
    <w:rsid w:val="6DDB7D5E"/>
    <w:rsid w:val="6DF332FA"/>
    <w:rsid w:val="6E3142AA"/>
    <w:rsid w:val="6E870AE8"/>
    <w:rsid w:val="6E8B26A2"/>
    <w:rsid w:val="6E985C4F"/>
    <w:rsid w:val="6EB04D47"/>
    <w:rsid w:val="6EB32A89"/>
    <w:rsid w:val="6F0A08FB"/>
    <w:rsid w:val="6F3B6D06"/>
    <w:rsid w:val="6F40431D"/>
    <w:rsid w:val="6FC77E37"/>
    <w:rsid w:val="6FEB51D9"/>
    <w:rsid w:val="6FF53AFC"/>
    <w:rsid w:val="6FFB3228"/>
    <w:rsid w:val="701449A5"/>
    <w:rsid w:val="703633CB"/>
    <w:rsid w:val="703E3C64"/>
    <w:rsid w:val="705A140E"/>
    <w:rsid w:val="705B5186"/>
    <w:rsid w:val="70B12FF8"/>
    <w:rsid w:val="70EB02B8"/>
    <w:rsid w:val="710650F2"/>
    <w:rsid w:val="71235CA4"/>
    <w:rsid w:val="71662034"/>
    <w:rsid w:val="718129CA"/>
    <w:rsid w:val="718A7F9D"/>
    <w:rsid w:val="71A8498D"/>
    <w:rsid w:val="71D41B64"/>
    <w:rsid w:val="72531FB4"/>
    <w:rsid w:val="72987FCC"/>
    <w:rsid w:val="72D5074F"/>
    <w:rsid w:val="72EC0317"/>
    <w:rsid w:val="73326672"/>
    <w:rsid w:val="737E3665"/>
    <w:rsid w:val="739A060E"/>
    <w:rsid w:val="74732A9E"/>
    <w:rsid w:val="74890514"/>
    <w:rsid w:val="74F811F5"/>
    <w:rsid w:val="750807C7"/>
    <w:rsid w:val="75292E35"/>
    <w:rsid w:val="75750A98"/>
    <w:rsid w:val="75C8568D"/>
    <w:rsid w:val="75DA6B4D"/>
    <w:rsid w:val="7625173F"/>
    <w:rsid w:val="762B73A9"/>
    <w:rsid w:val="766613FC"/>
    <w:rsid w:val="766D79C1"/>
    <w:rsid w:val="767B20DE"/>
    <w:rsid w:val="76E25CB9"/>
    <w:rsid w:val="76EA1012"/>
    <w:rsid w:val="76FF0666"/>
    <w:rsid w:val="7709593C"/>
    <w:rsid w:val="77161E07"/>
    <w:rsid w:val="776112D4"/>
    <w:rsid w:val="78054355"/>
    <w:rsid w:val="782C7B34"/>
    <w:rsid w:val="784C3D32"/>
    <w:rsid w:val="788D434B"/>
    <w:rsid w:val="78A3591C"/>
    <w:rsid w:val="790A7AC2"/>
    <w:rsid w:val="79144124"/>
    <w:rsid w:val="79444A09"/>
    <w:rsid w:val="79975481"/>
    <w:rsid w:val="79BC4EE7"/>
    <w:rsid w:val="79C21DD2"/>
    <w:rsid w:val="79E166FC"/>
    <w:rsid w:val="79E955B1"/>
    <w:rsid w:val="7A205E25"/>
    <w:rsid w:val="7A36384E"/>
    <w:rsid w:val="7A4153ED"/>
    <w:rsid w:val="7AF4420D"/>
    <w:rsid w:val="7B0E2DD6"/>
    <w:rsid w:val="7B160627"/>
    <w:rsid w:val="7BC07232"/>
    <w:rsid w:val="7C0E7550"/>
    <w:rsid w:val="7C5F7DAC"/>
    <w:rsid w:val="7CD24A22"/>
    <w:rsid w:val="7CD51E1C"/>
    <w:rsid w:val="7CFC55FB"/>
    <w:rsid w:val="7D2D3A06"/>
    <w:rsid w:val="7D743BA3"/>
    <w:rsid w:val="7D8A0E59"/>
    <w:rsid w:val="7DCC1471"/>
    <w:rsid w:val="7DF57E8C"/>
    <w:rsid w:val="7E123328"/>
    <w:rsid w:val="7E9902FA"/>
    <w:rsid w:val="7EAA3560"/>
    <w:rsid w:val="7EC14D4E"/>
    <w:rsid w:val="7EE822DB"/>
    <w:rsid w:val="7EF0118F"/>
    <w:rsid w:val="7F2A644F"/>
    <w:rsid w:val="7F4219EB"/>
    <w:rsid w:val="7FAF2DF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99"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8"/>
      <w:szCs w:val="24"/>
      <w:lang w:val="en-US" w:eastAsia="zh-CN" w:bidi="ar-SA"/>
    </w:rPr>
  </w:style>
  <w:style w:type="paragraph" w:styleId="2">
    <w:name w:val="heading 1"/>
    <w:basedOn w:val="1"/>
    <w:next w:val="1"/>
    <w:qFormat/>
    <w:uiPriority w:val="0"/>
    <w:pPr>
      <w:keepNext/>
      <w:keepLines/>
      <w:spacing w:line="576" w:lineRule="auto"/>
      <w:jc w:val="center"/>
      <w:outlineLvl w:val="0"/>
    </w:pPr>
    <w:rPr>
      <w:b/>
      <w:kern w:val="44"/>
      <w:sz w:val="44"/>
    </w:rPr>
  </w:style>
  <w:style w:type="paragraph" w:styleId="3">
    <w:name w:val="heading 2"/>
    <w:basedOn w:val="1"/>
    <w:next w:val="1"/>
    <w:link w:val="22"/>
    <w:unhideWhenUsed/>
    <w:qFormat/>
    <w:uiPriority w:val="0"/>
    <w:pPr>
      <w:keepNext/>
      <w:keepLines/>
      <w:spacing w:line="413" w:lineRule="auto"/>
      <w:outlineLvl w:val="1"/>
    </w:pPr>
    <w:rPr>
      <w:rFonts w:ascii="Arial" w:hAnsi="Arial" w:eastAsia="黑体"/>
      <w:b/>
      <w:sz w:val="32"/>
    </w:rPr>
  </w:style>
  <w:style w:type="paragraph" w:styleId="4">
    <w:name w:val="heading 3"/>
    <w:basedOn w:val="1"/>
    <w:next w:val="1"/>
    <w:unhideWhenUsed/>
    <w:qFormat/>
    <w:uiPriority w:val="0"/>
    <w:pPr>
      <w:spacing w:beforeAutospacing="1" w:afterAutospacing="1"/>
      <w:jc w:val="left"/>
      <w:outlineLvl w:val="2"/>
    </w:pPr>
    <w:rPr>
      <w:rFonts w:hint="eastAsia" w:ascii="宋体" w:hAnsi="宋体" w:eastAsia="宋体" w:cs="Times New Roman"/>
      <w:b/>
      <w:bCs/>
      <w:kern w:val="0"/>
      <w:sz w:val="27"/>
      <w:szCs w:val="27"/>
    </w:rPr>
  </w:style>
  <w:style w:type="paragraph" w:styleId="5">
    <w:name w:val="heading 4"/>
    <w:basedOn w:val="1"/>
    <w:next w:val="1"/>
    <w:unhideWhenUsed/>
    <w:qFormat/>
    <w:uiPriority w:val="0"/>
    <w:pPr>
      <w:keepNext/>
      <w:keepLines/>
      <w:spacing w:line="372" w:lineRule="auto"/>
      <w:outlineLvl w:val="3"/>
    </w:pPr>
    <w:rPr>
      <w:rFonts w:ascii="Arial" w:hAnsi="Arial" w:eastAsia="黑体"/>
      <w:b/>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caption"/>
    <w:basedOn w:val="1"/>
    <w:next w:val="1"/>
    <w:semiHidden/>
    <w:unhideWhenUsed/>
    <w:qFormat/>
    <w:uiPriority w:val="0"/>
    <w:rPr>
      <w:rFonts w:ascii="Arial" w:hAnsi="Arial" w:eastAsia="黑体"/>
      <w:sz w:val="20"/>
    </w:rPr>
  </w:style>
  <w:style w:type="paragraph" w:styleId="8">
    <w:name w:val="Body Text 3"/>
    <w:basedOn w:val="1"/>
    <w:qFormat/>
    <w:uiPriority w:val="0"/>
    <w:rPr>
      <w:sz w:val="16"/>
    </w:rPr>
  </w:style>
  <w:style w:type="paragraph" w:styleId="9">
    <w:name w:val="Body Text"/>
    <w:basedOn w:val="1"/>
    <w:next w:val="10"/>
    <w:qFormat/>
    <w:uiPriority w:val="0"/>
    <w:rPr>
      <w:sz w:val="24"/>
    </w:rPr>
  </w:style>
  <w:style w:type="paragraph" w:styleId="10">
    <w:name w:val="Body Text 2"/>
    <w:basedOn w:val="1"/>
    <w:qFormat/>
    <w:uiPriority w:val="99"/>
    <w:pPr>
      <w:spacing w:after="120" w:line="480" w:lineRule="auto"/>
    </w:pPr>
  </w:style>
  <w:style w:type="paragraph" w:styleId="11">
    <w:name w:val="toc 3"/>
    <w:basedOn w:val="1"/>
    <w:next w:val="1"/>
    <w:qFormat/>
    <w:uiPriority w:val="0"/>
    <w:pPr>
      <w:ind w:left="840" w:leftChars="400"/>
    </w:pPr>
  </w:style>
  <w:style w:type="paragraph" w:styleId="12">
    <w:name w:val="Balloon Text"/>
    <w:basedOn w:val="1"/>
    <w:link w:val="29"/>
    <w:qFormat/>
    <w:uiPriority w:val="0"/>
    <w:rPr>
      <w:sz w:val="18"/>
      <w:szCs w:val="18"/>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0"/>
  </w:style>
  <w:style w:type="paragraph" w:styleId="16">
    <w:name w:val="toc 2"/>
    <w:basedOn w:val="1"/>
    <w:next w:val="1"/>
    <w:qFormat/>
    <w:uiPriority w:val="0"/>
    <w:pPr>
      <w:ind w:left="420" w:leftChars="200"/>
    </w:pPr>
  </w:style>
  <w:style w:type="paragraph" w:styleId="17">
    <w:name w:val="Normal (Web)"/>
    <w:basedOn w:val="1"/>
    <w:qFormat/>
    <w:uiPriority w:val="0"/>
    <w:pPr>
      <w:spacing w:beforeAutospacing="1" w:afterAutospacing="1"/>
      <w:jc w:val="left"/>
    </w:pPr>
    <w:rPr>
      <w:rFonts w:cs="Times New Roman"/>
      <w:kern w:val="0"/>
      <w:sz w:val="24"/>
    </w:rPr>
  </w:style>
  <w:style w:type="character" w:styleId="20">
    <w:name w:val="Strong"/>
    <w:basedOn w:val="19"/>
    <w:qFormat/>
    <w:uiPriority w:val="0"/>
    <w:rPr>
      <w:b/>
    </w:rPr>
  </w:style>
  <w:style w:type="character" w:styleId="21">
    <w:name w:val="Hyperlink"/>
    <w:basedOn w:val="19"/>
    <w:qFormat/>
    <w:uiPriority w:val="0"/>
    <w:rPr>
      <w:color w:val="0000FF"/>
      <w:u w:val="single"/>
    </w:rPr>
  </w:style>
  <w:style w:type="character" w:customStyle="1" w:styleId="22">
    <w:name w:val="标题 2 Char"/>
    <w:link w:val="3"/>
    <w:qFormat/>
    <w:uiPriority w:val="0"/>
    <w:rPr>
      <w:rFonts w:ascii="Arial" w:hAnsi="Arial" w:eastAsia="黑体"/>
      <w:b/>
      <w:sz w:val="32"/>
    </w:rPr>
  </w:style>
  <w:style w:type="paragraph" w:customStyle="1" w:styleId="23">
    <w:name w:val="Default"/>
    <w:qFormat/>
    <w:uiPriority w:val="0"/>
    <w:pPr>
      <w:widowControl w:val="0"/>
      <w:autoSpaceDE w:val="0"/>
      <w:autoSpaceDN w:val="0"/>
      <w:adjustRightInd w:val="0"/>
    </w:pPr>
    <w:rPr>
      <w:rFonts w:ascii="黑体" w:hAnsi="Calibri" w:eastAsia="黑体" w:cs="Times New Roman"/>
      <w:color w:val="000000"/>
      <w:sz w:val="24"/>
      <w:szCs w:val="24"/>
      <w:lang w:val="en-US" w:eastAsia="zh-CN" w:bidi="ar-SA"/>
    </w:r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6">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27">
    <w:name w:val="font31"/>
    <w:basedOn w:val="19"/>
    <w:qFormat/>
    <w:uiPriority w:val="0"/>
    <w:rPr>
      <w:rFonts w:hint="default" w:ascii="Times New Roman" w:hAnsi="Times New Roman" w:cs="Times New Roman"/>
      <w:color w:val="000000"/>
      <w:sz w:val="20"/>
      <w:szCs w:val="20"/>
      <w:u w:val="none"/>
    </w:rPr>
  </w:style>
  <w:style w:type="character" w:customStyle="1" w:styleId="28">
    <w:name w:val="font11"/>
    <w:basedOn w:val="19"/>
    <w:qFormat/>
    <w:uiPriority w:val="0"/>
    <w:rPr>
      <w:rFonts w:hint="eastAsia" w:ascii="宋体" w:hAnsi="宋体" w:eastAsia="宋体" w:cs="宋体"/>
      <w:color w:val="000000"/>
      <w:sz w:val="20"/>
      <w:szCs w:val="20"/>
      <w:u w:val="none"/>
    </w:rPr>
  </w:style>
  <w:style w:type="character" w:customStyle="1" w:styleId="29">
    <w:name w:val="批注框文本 Char"/>
    <w:basedOn w:val="19"/>
    <w:link w:val="12"/>
    <w:qFormat/>
    <w:uiPriority w:val="0"/>
    <w:rPr>
      <w:rFonts w:asciiTheme="minorHAnsi" w:hAnsiTheme="minorHAnsi" w:eastAsiaTheme="minorEastAsia" w:cstheme="minorBidi"/>
      <w:kern w:val="2"/>
      <w:sz w:val="18"/>
      <w:szCs w:val="18"/>
    </w:rPr>
  </w:style>
  <w:style w:type="paragraph" w:customStyle="1" w:styleId="30">
    <w:name w:val="正文new"/>
    <w:basedOn w:val="1"/>
    <w:qFormat/>
    <w:uiPriority w:val="0"/>
    <w:pPr>
      <w:ind w:firstLine="200" w:firstLineChars="200"/>
    </w:pPr>
    <w:rPr>
      <w:rFonts w:ascii="仿宋" w:hAnsi="仿宋" w:eastAsia="仿宋_GB2312" w:cs="Times New Roman"/>
      <w:sz w:val="32"/>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hyperlink" Target="https://baike.baidu.com/pic/&#233;&#130;&#181;&#233;&#152;&#179;&#229;&#142;&#191;/8568907/0/eac4b74543a98226cffca704a7dbae014a90f603bdc5?fr=lemma%26fromModule=lemma_content-image" TargetMode="Externa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67</Pages>
  <Words>2540</Words>
  <Characters>14484</Characters>
  <Lines>120</Lines>
  <Paragraphs>33</Paragraphs>
  <TotalTime>0</TotalTime>
  <ScaleCrop>false</ScaleCrop>
  <LinksUpToDate>false</LinksUpToDate>
  <CharactersWithSpaces>16991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2024-11-11T00:53:00Z</dcterms:created>
  <dc:creator>骑蜗牛捡破烂</dc:creator>
  <cp:lastModifiedBy>win10</cp:lastModifiedBy>
  <cp:lastPrinted>2024-11-04T07:56:00Z</cp:lastPrinted>
  <dcterms:modified xsi:type="dcterms:W3CDTF">2025-07-01T03:02:23Z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6B4349C0BFA24BD18B92ABE140F0BBD6_13</vt:lpwstr>
  </property>
  <property fmtid="{D5CDD505-2E9C-101B-9397-08002B2CF9AE}" pid="4" name="KSOTemplateDocerSaveRecord">
    <vt:lpwstr>eyJoZGlkIjoiMDE5YTZmNGM4YTg3ZGMxZTc4NzAwYWMwNTRhMTFiZWYifQ==</vt:lpwstr>
  </property>
</Properties>
</file>