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994210">
      <w:pPr>
        <w:adjustRightInd w:val="0"/>
        <w:spacing w:line="240" w:lineRule="auto"/>
        <w:ind w:right="641"/>
        <w:rPr>
          <w:rFonts w:hint="eastAsia" w:ascii="黑体" w:eastAsia="黑体"/>
          <w:sz w:val="32"/>
          <w:szCs w:val="32"/>
          <w:lang w:eastAsia="zh-CN"/>
        </w:rPr>
      </w:pPr>
    </w:p>
    <w:p w14:paraId="2EAB59D8">
      <w:pPr>
        <w:adjustRightInd w:val="0"/>
        <w:spacing w:line="240" w:lineRule="auto"/>
        <w:ind w:right="641"/>
        <w:rPr>
          <w:rFonts w:hint="eastAsia" w:ascii="黑体" w:eastAsia="黑体"/>
          <w:sz w:val="32"/>
          <w:szCs w:val="32"/>
        </w:rPr>
      </w:pPr>
    </w:p>
    <w:p w14:paraId="6394498C">
      <w:pPr>
        <w:adjustRightInd w:val="0"/>
        <w:spacing w:line="240" w:lineRule="auto"/>
        <w:ind w:right="641"/>
        <w:rPr>
          <w:rFonts w:hint="eastAsia" w:ascii="黑体" w:eastAsia="黑体"/>
          <w:sz w:val="32"/>
          <w:szCs w:val="32"/>
        </w:rPr>
      </w:pPr>
      <w:r>
        <w:rPr>
          <w:rFonts w:hint="eastAsia" w:ascii="黑体" w:eastAsia="黑体"/>
          <w:sz w:val="32"/>
          <w:szCs w:val="32"/>
          <w:lang w:eastAsia="zh-CN"/>
        </w:rPr>
        <w:drawing>
          <wp:inline distT="0" distB="0" distL="114300" distR="114300">
            <wp:extent cx="5747385" cy="8270240"/>
            <wp:effectExtent l="0" t="0" r="5715" b="16510"/>
            <wp:docPr id="1" name="图片 1" descr="f7a2672075b59bd46c1fcd5dc4034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7a2672075b59bd46c1fcd5dc4034d7"/>
                    <pic:cNvPicPr>
                      <a:picLocks noChangeAspect="1"/>
                    </pic:cNvPicPr>
                  </pic:nvPicPr>
                  <pic:blipFill>
                    <a:blip r:embed="rId5"/>
                    <a:stretch>
                      <a:fillRect/>
                    </a:stretch>
                  </pic:blipFill>
                  <pic:spPr>
                    <a:xfrm>
                      <a:off x="0" y="0"/>
                      <a:ext cx="5747385" cy="8270240"/>
                    </a:xfrm>
                    <a:prstGeom prst="rect">
                      <a:avLst/>
                    </a:prstGeom>
                  </pic:spPr>
                </pic:pic>
              </a:graphicData>
            </a:graphic>
          </wp:inline>
        </w:drawing>
      </w:r>
    </w:p>
    <w:p w14:paraId="4D72618E">
      <w:pPr>
        <w:adjustRightInd w:val="0"/>
        <w:spacing w:line="240" w:lineRule="auto"/>
        <w:ind w:right="641"/>
        <w:rPr>
          <w:rFonts w:hint="eastAsia" w:ascii="黑体" w:eastAsia="黑体"/>
          <w:sz w:val="32"/>
          <w:szCs w:val="32"/>
        </w:rPr>
      </w:pPr>
    </w:p>
    <w:p w14:paraId="1A4AF48B">
      <w:pPr>
        <w:adjustRightInd w:val="0"/>
        <w:spacing w:line="240" w:lineRule="auto"/>
        <w:ind w:right="641"/>
        <w:rPr>
          <w:rFonts w:hint="eastAsia" w:ascii="黑体" w:eastAsia="黑体"/>
          <w:sz w:val="32"/>
          <w:szCs w:val="32"/>
        </w:rPr>
      </w:pPr>
    </w:p>
    <w:p w14:paraId="42397937">
      <w:pPr>
        <w:adjustRightInd w:val="0"/>
        <w:spacing w:line="240" w:lineRule="auto"/>
        <w:ind w:right="641"/>
        <w:rPr>
          <w:rFonts w:hint="eastAsia" w:ascii="黑体" w:eastAsia="黑体"/>
          <w:sz w:val="32"/>
          <w:szCs w:val="32"/>
        </w:rPr>
      </w:pPr>
    </w:p>
    <w:p w14:paraId="2FD75D5C">
      <w:pPr>
        <w:adjustRightInd w:val="0"/>
        <w:spacing w:line="600" w:lineRule="exact"/>
        <w:ind w:right="641"/>
        <w:rPr>
          <w:rFonts w:hint="eastAsia" w:ascii="黑体" w:eastAsia="黑体"/>
          <w:sz w:val="32"/>
          <w:szCs w:val="32"/>
          <w:lang w:val="en-US" w:eastAsia="zh-CN"/>
        </w:rPr>
      </w:pPr>
      <w:r>
        <w:rPr>
          <w:rFonts w:hint="eastAsia" w:ascii="黑体" w:eastAsia="黑体"/>
          <w:sz w:val="32"/>
          <w:szCs w:val="32"/>
        </w:rPr>
        <w:t>附件</w:t>
      </w:r>
      <w:r>
        <w:rPr>
          <w:rFonts w:hint="eastAsia" w:ascii="黑体" w:eastAsia="黑体"/>
          <w:sz w:val="32"/>
          <w:szCs w:val="32"/>
          <w:lang w:val="en-US" w:eastAsia="zh-CN"/>
        </w:rPr>
        <w:t>1</w:t>
      </w:r>
    </w:p>
    <w:p w14:paraId="272BA035">
      <w:pPr>
        <w:rPr>
          <w:rFonts w:eastAsia="黑体"/>
          <w:sz w:val="44"/>
        </w:rPr>
      </w:pPr>
    </w:p>
    <w:p w14:paraId="30011672">
      <w:pPr>
        <w:rPr>
          <w:rFonts w:eastAsia="黑体"/>
          <w:sz w:val="44"/>
        </w:rPr>
      </w:pPr>
    </w:p>
    <w:p w14:paraId="3C835FB2">
      <w:pPr>
        <w:jc w:val="center"/>
        <w:rPr>
          <w:rFonts w:ascii="宋体" w:hAnsi="宋体"/>
          <w:sz w:val="44"/>
          <w:szCs w:val="44"/>
        </w:rPr>
      </w:pPr>
    </w:p>
    <w:p w14:paraId="210B8FDA">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邵阳县20</w:t>
      </w:r>
      <w:r>
        <w:rPr>
          <w:rFonts w:hint="eastAsia" w:ascii="方正小标宋简体" w:hAnsi="方正小标宋简体" w:eastAsia="方正小标宋简体" w:cs="方正小标宋简体"/>
          <w:sz w:val="44"/>
          <w:szCs w:val="44"/>
          <w:lang w:val="en-US" w:eastAsia="zh-CN"/>
        </w:rPr>
        <w:t>23</w:t>
      </w:r>
      <w:r>
        <w:rPr>
          <w:rFonts w:hint="eastAsia" w:ascii="方正小标宋简体" w:hAnsi="方正小标宋简体" w:eastAsia="方正小标宋简体" w:cs="方正小标宋简体"/>
          <w:sz w:val="44"/>
          <w:szCs w:val="44"/>
        </w:rPr>
        <w:t xml:space="preserve">年度部门整体支出绩效自评报告   </w:t>
      </w:r>
    </w:p>
    <w:p w14:paraId="6E506C73">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（封面）</w:t>
      </w:r>
    </w:p>
    <w:p w14:paraId="2C279F49">
      <w:pPr>
        <w:jc w:val="center"/>
        <w:rPr>
          <w:rFonts w:ascii="宋体" w:hAnsi="宋体"/>
          <w:sz w:val="44"/>
          <w:szCs w:val="44"/>
        </w:rPr>
      </w:pPr>
    </w:p>
    <w:p w14:paraId="1374CFC4">
      <w:pPr>
        <w:spacing w:line="600" w:lineRule="exact"/>
        <w:rPr>
          <w:sz w:val="36"/>
        </w:rPr>
      </w:pPr>
    </w:p>
    <w:p w14:paraId="3BF6AD0F">
      <w:pPr>
        <w:spacing w:line="600" w:lineRule="exact"/>
        <w:rPr>
          <w:sz w:val="36"/>
        </w:rPr>
      </w:pPr>
    </w:p>
    <w:p w14:paraId="6855395C">
      <w:pPr>
        <w:spacing w:line="600" w:lineRule="exact"/>
        <w:rPr>
          <w:sz w:val="36"/>
        </w:rPr>
      </w:pPr>
    </w:p>
    <w:p w14:paraId="4D813BC0">
      <w:pPr>
        <w:spacing w:line="600" w:lineRule="exact"/>
        <w:rPr>
          <w:sz w:val="36"/>
        </w:rPr>
      </w:pPr>
    </w:p>
    <w:p w14:paraId="2C77B9B1">
      <w:pPr>
        <w:spacing w:line="1000" w:lineRule="exact"/>
        <w:rPr>
          <w:bCs/>
          <w:sz w:val="32"/>
          <w:szCs w:val="32"/>
          <w:u w:val="single"/>
        </w:rPr>
      </w:pPr>
      <w:r>
        <w:rPr>
          <w:rFonts w:hint="eastAsia"/>
          <w:sz w:val="36"/>
        </w:rPr>
        <w:t xml:space="preserve">    </w:t>
      </w:r>
      <w:r>
        <w:rPr>
          <w:rFonts w:hint="eastAsia"/>
          <w:b/>
          <w:bCs/>
          <w:sz w:val="32"/>
          <w:szCs w:val="32"/>
        </w:rPr>
        <w:t xml:space="preserve"> 自评单位：  </w:t>
      </w:r>
      <w:r>
        <w:rPr>
          <w:rFonts w:hint="eastAsia"/>
          <w:b/>
          <w:bCs/>
          <w:sz w:val="32"/>
          <w:szCs w:val="32"/>
          <w:u w:val="single"/>
        </w:rPr>
        <w:t>　</w:t>
      </w:r>
      <w:r>
        <w:rPr>
          <w:rFonts w:hint="eastAsia"/>
          <w:b/>
          <w:bCs/>
          <w:sz w:val="32"/>
          <w:szCs w:val="32"/>
          <w:u w:val="single"/>
          <w:lang w:eastAsia="zh-CN"/>
        </w:rPr>
        <w:t>邵阳县七里山园艺场</w:t>
      </w:r>
      <w:r>
        <w:rPr>
          <w:rFonts w:hint="eastAsia"/>
          <w:b/>
          <w:bCs/>
          <w:sz w:val="32"/>
          <w:szCs w:val="32"/>
          <w:u w:val="single"/>
        </w:rPr>
        <w:t>　</w:t>
      </w:r>
      <w:r>
        <w:rPr>
          <w:rFonts w:hint="eastAsia"/>
          <w:bCs/>
          <w:sz w:val="32"/>
          <w:szCs w:val="32"/>
        </w:rPr>
        <w:t>（单位公章）</w:t>
      </w:r>
    </w:p>
    <w:p w14:paraId="631359D9">
      <w:pPr>
        <w:spacing w:line="600" w:lineRule="exact"/>
      </w:pPr>
    </w:p>
    <w:p w14:paraId="31E68366">
      <w:pPr>
        <w:spacing w:line="600" w:lineRule="exact"/>
      </w:pPr>
    </w:p>
    <w:p w14:paraId="2735AB80">
      <w:pPr>
        <w:spacing w:line="600" w:lineRule="exact"/>
      </w:pPr>
    </w:p>
    <w:p w14:paraId="184A3671">
      <w:pPr>
        <w:spacing w:line="600" w:lineRule="exact"/>
      </w:pPr>
    </w:p>
    <w:p w14:paraId="6DF0D38B">
      <w:pPr>
        <w:spacing w:line="600" w:lineRule="exact"/>
      </w:pPr>
    </w:p>
    <w:p w14:paraId="2FBC0A3E">
      <w:pPr>
        <w:spacing w:line="600" w:lineRule="exact"/>
        <w:jc w:val="center"/>
        <w:rPr>
          <w:rFonts w:ascii="楷体" w:hAnsi="楷体" w:eastAsia="楷体" w:cs="楷体"/>
          <w:sz w:val="36"/>
        </w:rPr>
      </w:pPr>
      <w:r>
        <w:rPr>
          <w:rFonts w:hint="eastAsia" w:ascii="楷体" w:hAnsi="楷体" w:eastAsia="楷体" w:cs="楷体"/>
          <w:sz w:val="36"/>
        </w:rPr>
        <w:t>日期：</w:t>
      </w:r>
      <w:r>
        <w:rPr>
          <w:rFonts w:hint="eastAsia" w:ascii="楷体" w:hAnsi="楷体" w:eastAsia="楷体" w:cs="楷体"/>
          <w:sz w:val="36"/>
          <w:lang w:val="en-US" w:eastAsia="zh-CN"/>
        </w:rPr>
        <w:t>2024</w:t>
      </w:r>
      <w:r>
        <w:rPr>
          <w:rFonts w:hint="eastAsia" w:ascii="楷体" w:hAnsi="楷体" w:eastAsia="楷体" w:cs="楷体"/>
          <w:sz w:val="36"/>
        </w:rPr>
        <w:t>年</w:t>
      </w:r>
      <w:r>
        <w:rPr>
          <w:rFonts w:hint="eastAsia" w:ascii="楷体" w:hAnsi="楷体" w:eastAsia="楷体" w:cs="楷体"/>
          <w:sz w:val="36"/>
          <w:lang w:val="en-US" w:eastAsia="zh-CN"/>
        </w:rPr>
        <w:t>2</w:t>
      </w:r>
      <w:r>
        <w:rPr>
          <w:rFonts w:hint="eastAsia" w:ascii="楷体" w:hAnsi="楷体" w:eastAsia="楷体" w:cs="楷体"/>
          <w:sz w:val="36"/>
        </w:rPr>
        <w:t>月</w:t>
      </w:r>
      <w:r>
        <w:rPr>
          <w:rFonts w:hint="eastAsia" w:ascii="楷体" w:hAnsi="楷体" w:eastAsia="楷体" w:cs="楷体"/>
          <w:sz w:val="36"/>
          <w:lang w:val="en-US" w:eastAsia="zh-CN"/>
        </w:rPr>
        <w:t>28</w:t>
      </w:r>
      <w:r>
        <w:rPr>
          <w:rFonts w:hint="eastAsia" w:ascii="楷体" w:hAnsi="楷体" w:eastAsia="楷体" w:cs="楷体"/>
          <w:sz w:val="36"/>
        </w:rPr>
        <w:t>日</w:t>
      </w:r>
    </w:p>
    <w:p w14:paraId="42656CE2">
      <w:pPr>
        <w:spacing w:line="600" w:lineRule="exact"/>
        <w:rPr>
          <w:rFonts w:eastAsia="仿宋_GB2312"/>
          <w:sz w:val="28"/>
          <w:szCs w:val="28"/>
        </w:rPr>
      </w:pPr>
    </w:p>
    <w:p w14:paraId="2E16A130">
      <w:pPr>
        <w:adjustRightInd w:val="0"/>
        <w:spacing w:line="600" w:lineRule="exact"/>
        <w:ind w:right="641"/>
        <w:rPr>
          <w:rFonts w:hint="eastAsia" w:ascii="黑体" w:eastAsia="黑体"/>
          <w:sz w:val="32"/>
          <w:szCs w:val="32"/>
          <w:lang w:val="en-US" w:eastAsia="zh-CN"/>
        </w:rPr>
      </w:pPr>
    </w:p>
    <w:p w14:paraId="55D9B5F4">
      <w:pPr>
        <w:adjustRightInd w:val="0"/>
        <w:spacing w:line="600" w:lineRule="exact"/>
        <w:ind w:right="641"/>
        <w:rPr>
          <w:rFonts w:hint="eastAsia" w:ascii="黑体" w:eastAsia="黑体"/>
          <w:sz w:val="32"/>
          <w:szCs w:val="32"/>
          <w:lang w:val="en-US" w:eastAsia="zh-CN"/>
        </w:rPr>
      </w:pPr>
    </w:p>
    <w:p w14:paraId="47DB7689">
      <w:pPr>
        <w:adjustRightInd w:val="0"/>
        <w:spacing w:line="600" w:lineRule="exact"/>
        <w:ind w:right="641"/>
        <w:rPr>
          <w:rFonts w:hint="eastAsia" w:ascii="黑体" w:eastAsia="黑体"/>
          <w:sz w:val="32"/>
          <w:szCs w:val="32"/>
          <w:lang w:val="en-US" w:eastAsia="zh-CN"/>
        </w:rPr>
      </w:pPr>
    </w:p>
    <w:p w14:paraId="23E1E27F">
      <w:pPr>
        <w:adjustRightInd w:val="0"/>
        <w:spacing w:line="600" w:lineRule="exact"/>
        <w:ind w:right="641"/>
        <w:rPr>
          <w:rFonts w:hint="default" w:ascii="黑体" w:eastAsia="黑体"/>
          <w:sz w:val="32"/>
          <w:szCs w:val="32"/>
          <w:lang w:val="en-US" w:eastAsia="zh-CN"/>
        </w:rPr>
      </w:pPr>
      <w:r>
        <w:rPr>
          <w:rFonts w:hint="eastAsia" w:ascii="黑体" w:eastAsia="黑体"/>
          <w:sz w:val="32"/>
          <w:szCs w:val="32"/>
          <w:lang w:val="en-US" w:eastAsia="zh-CN"/>
        </w:rPr>
        <w:t>附件2</w:t>
      </w:r>
    </w:p>
    <w:p w14:paraId="75F05536">
      <w:pPr>
        <w:adjustRightInd w:val="0"/>
        <w:spacing w:line="600" w:lineRule="exact"/>
        <w:ind w:right="641"/>
        <w:jc w:val="center"/>
        <w:rPr>
          <w:rFonts w:eastAsia="方正小标宋_GBK"/>
          <w:sz w:val="36"/>
          <w:szCs w:val="36"/>
        </w:rPr>
      </w:pPr>
      <w:r>
        <w:rPr>
          <w:rFonts w:hint="eastAsia" w:eastAsia="方正小标宋_GBK"/>
          <w:sz w:val="36"/>
          <w:szCs w:val="36"/>
        </w:rPr>
        <w:t xml:space="preserve">   部门整体</w:t>
      </w:r>
      <w:r>
        <w:rPr>
          <w:rFonts w:eastAsia="方正小标宋_GBK"/>
          <w:sz w:val="36"/>
          <w:szCs w:val="36"/>
        </w:rPr>
        <w:t>支出绩效</w:t>
      </w:r>
      <w:r>
        <w:rPr>
          <w:rFonts w:hint="eastAsia" w:eastAsia="方正小标宋_GBK"/>
          <w:sz w:val="36"/>
          <w:szCs w:val="36"/>
          <w:lang w:eastAsia="zh-CN"/>
        </w:rPr>
        <w:t>自评</w:t>
      </w:r>
      <w:r>
        <w:rPr>
          <w:rFonts w:eastAsia="方正小标宋_GBK"/>
          <w:sz w:val="36"/>
          <w:szCs w:val="36"/>
        </w:rPr>
        <w:t>报告</w:t>
      </w:r>
    </w:p>
    <w:p w14:paraId="3406E7EB">
      <w:pPr>
        <w:adjustRightInd w:val="0"/>
        <w:spacing w:line="600" w:lineRule="exact"/>
        <w:ind w:right="641"/>
        <w:jc w:val="center"/>
        <w:rPr>
          <w:rFonts w:eastAsia="方正小标宋_GBK"/>
          <w:sz w:val="36"/>
          <w:szCs w:val="36"/>
        </w:rPr>
      </w:pPr>
    </w:p>
    <w:p w14:paraId="3BBF18A2">
      <w:pPr>
        <w:widowControl/>
        <w:spacing w:line="600" w:lineRule="exact"/>
        <w:ind w:firstLine="645"/>
        <w:jc w:val="left"/>
        <w:rPr>
          <w:rFonts w:hint="eastAsia" w:eastAsia="黑体"/>
          <w:sz w:val="32"/>
          <w:szCs w:val="32"/>
        </w:rPr>
      </w:pPr>
      <w:r>
        <w:rPr>
          <w:rFonts w:hint="eastAsia" w:eastAsia="黑体"/>
          <w:sz w:val="32"/>
          <w:szCs w:val="32"/>
        </w:rPr>
        <w:t>一、部门、单位基本情况</w:t>
      </w:r>
    </w:p>
    <w:p w14:paraId="74AE11C8">
      <w:pPr>
        <w:keepNext w:val="0"/>
        <w:keepLines w:val="0"/>
        <w:pageBreakBefore w:val="0"/>
        <w:kinsoku/>
        <w:wordWrap/>
        <w:overflowPunct/>
        <w:topLinePunct w:val="0"/>
        <w:autoSpaceDE/>
        <w:autoSpaceDN/>
        <w:bidi w:val="0"/>
        <w:adjustRightInd w:val="0"/>
        <w:snapToGrid w:val="0"/>
        <w:spacing w:line="360" w:lineRule="auto"/>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（一）机构设置情况</w:t>
      </w:r>
    </w:p>
    <w:p w14:paraId="307D4FC9">
      <w:pPr>
        <w:keepNext w:val="0"/>
        <w:keepLines w:val="0"/>
        <w:pageBreakBefore w:val="0"/>
        <w:kinsoku/>
        <w:wordWrap/>
        <w:overflowPunct/>
        <w:topLinePunct w:val="0"/>
        <w:autoSpaceDE/>
        <w:autoSpaceDN/>
        <w:bidi w:val="0"/>
        <w:adjustRightInd w:val="0"/>
        <w:snapToGrid w:val="0"/>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邵阳县七里山园艺场单位内设机构包括“五办一所三中心一大队一站”：党政综合办公室、基层党建办公室、经济发展办公室、社会</w:t>
      </w:r>
      <w:bookmarkStart w:id="0" w:name="_GoBack"/>
      <w:bookmarkEnd w:id="0"/>
      <w:r>
        <w:rPr>
          <w:rFonts w:hint="eastAsia" w:ascii="仿宋" w:hAnsi="仿宋" w:eastAsia="仿宋" w:cs="仿宋"/>
          <w:sz w:val="30"/>
          <w:szCs w:val="30"/>
          <w:lang w:val="en-US" w:eastAsia="zh-CN"/>
        </w:rPr>
        <w:t>事务办公室、社会治安和应急管理办公室、财政所、政务和社会事务综合服务中心、农业综合服务中心、自然资源与生态环境服务中心、综合行政执法大队、退役军人事务站。</w:t>
      </w:r>
    </w:p>
    <w:p w14:paraId="1C3A1F1E">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人员编制情况</w:t>
      </w:r>
    </w:p>
    <w:p w14:paraId="050A3151">
      <w:pPr>
        <w:keepNext w:val="0"/>
        <w:keepLines w:val="0"/>
        <w:pageBreakBefore w:val="0"/>
        <w:kinsoku/>
        <w:wordWrap/>
        <w:overflowPunct/>
        <w:topLinePunct w:val="0"/>
        <w:autoSpaceDE/>
        <w:autoSpaceDN/>
        <w:bidi w:val="0"/>
        <w:adjustRightInd w:val="0"/>
        <w:snapToGrid w:val="0"/>
        <w:spacing w:line="360" w:lineRule="auto"/>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color w:val="auto"/>
          <w:kern w:val="0"/>
          <w:sz w:val="30"/>
          <w:szCs w:val="30"/>
          <w:lang w:val="en-US" w:eastAsia="zh-CN"/>
        </w:rPr>
        <w:t>2023年七里山园艺场场人民政府</w:t>
      </w:r>
      <w:r>
        <w:rPr>
          <w:rFonts w:hint="eastAsia" w:ascii="仿宋" w:hAnsi="仿宋" w:eastAsia="仿宋" w:cs="仿宋"/>
          <w:sz w:val="30"/>
          <w:szCs w:val="30"/>
          <w:lang w:val="en-US" w:eastAsia="zh-CN"/>
        </w:rPr>
        <w:t>编制人数53人，其中行政编制16人，事业编制37人。</w:t>
      </w:r>
    </w:p>
    <w:p w14:paraId="65FE8B9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楷体" w:hAnsi="楷体" w:eastAsia="楷体" w:cs="楷体"/>
          <w:b/>
          <w:bCs/>
          <w:sz w:val="32"/>
          <w:szCs w:val="32"/>
        </w:rPr>
      </w:pPr>
      <w:r>
        <w:rPr>
          <w:rFonts w:hint="eastAsia" w:ascii="仿宋" w:hAnsi="仿宋" w:eastAsia="仿宋" w:cs="仿宋"/>
          <w:color w:val="auto"/>
          <w:kern w:val="0"/>
          <w:sz w:val="30"/>
          <w:szCs w:val="30"/>
          <w:lang w:val="en-US" w:eastAsia="zh-CN"/>
        </w:rPr>
        <w:t>在职实有人数53人，其中行政编制16人，全额事业人员编制35人，差额拨款及定额补助人员2人；实有公务车辆1辆。</w:t>
      </w:r>
    </w:p>
    <w:p w14:paraId="53D44768">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643" w:firstLineChars="200"/>
        <w:textAlignment w:val="auto"/>
        <w:rPr>
          <w:rFonts w:hint="eastAsia" w:ascii="仿宋" w:hAnsi="仿宋" w:eastAsia="仿宋" w:cs="仿宋"/>
          <w:color w:val="auto"/>
          <w:kern w:val="0"/>
          <w:sz w:val="32"/>
          <w:szCs w:val="32"/>
          <w:lang w:val="en-US" w:eastAsia="zh-CN"/>
        </w:rPr>
      </w:pPr>
      <w:r>
        <w:rPr>
          <w:rFonts w:hint="eastAsia" w:ascii="楷体" w:hAnsi="楷体" w:eastAsia="楷体" w:cs="楷体"/>
          <w:b/>
          <w:bCs/>
          <w:sz w:val="32"/>
          <w:szCs w:val="32"/>
        </w:rPr>
        <w:t>主要职能职责</w:t>
      </w:r>
    </w:p>
    <w:p w14:paraId="7F579CE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color w:val="auto"/>
          <w:kern w:val="0"/>
          <w:sz w:val="30"/>
          <w:szCs w:val="30"/>
          <w:lang w:val="en-US" w:eastAsia="zh-CN"/>
        </w:rPr>
      </w:pPr>
      <w:r>
        <w:rPr>
          <w:rFonts w:hint="eastAsia" w:ascii="仿宋" w:hAnsi="仿宋" w:eastAsia="仿宋" w:cs="仿宋"/>
          <w:color w:val="auto"/>
          <w:kern w:val="0"/>
          <w:sz w:val="30"/>
          <w:szCs w:val="30"/>
          <w:lang w:val="en-US" w:eastAsia="zh-CN"/>
        </w:rPr>
        <w:t>1.宣传和贯彻执行党的路线方针政策和法律法规；制定地主经济社会发展规划和年度计划实施；坚持依法行政，推进民主政治，加强基层政权建设；做好农业、农村、农民和社区工作。</w:t>
      </w:r>
    </w:p>
    <w:p w14:paraId="2F12C4B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color w:val="auto"/>
          <w:kern w:val="0"/>
          <w:sz w:val="30"/>
          <w:szCs w:val="30"/>
          <w:lang w:val="en-US" w:eastAsia="zh-CN"/>
        </w:rPr>
      </w:pPr>
      <w:r>
        <w:rPr>
          <w:rFonts w:hint="eastAsia" w:ascii="仿宋" w:hAnsi="仿宋" w:eastAsia="仿宋" w:cs="仿宋"/>
          <w:color w:val="auto"/>
          <w:kern w:val="0"/>
          <w:sz w:val="30"/>
          <w:szCs w:val="30"/>
          <w:lang w:val="en-US" w:eastAsia="zh-CN"/>
        </w:rPr>
        <w:t>2.落实基层管党治党工作责任制，加强党员队伍的思想建设、组织建设、作风建设、制度建设和党风廉政建设做好党员管理、发展工作，改善党员队伍结构，提高党员素质；加强党对意识形态和统一战线工作的领导；指导工会、共青团、妇联等群团工作。</w:t>
      </w:r>
    </w:p>
    <w:p w14:paraId="5E6507C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color w:val="auto"/>
          <w:kern w:val="0"/>
          <w:sz w:val="30"/>
          <w:szCs w:val="30"/>
          <w:lang w:val="en-US" w:eastAsia="zh-CN"/>
        </w:rPr>
      </w:pPr>
      <w:r>
        <w:rPr>
          <w:rFonts w:hint="eastAsia" w:ascii="仿宋" w:hAnsi="仿宋" w:eastAsia="仿宋" w:cs="仿宋"/>
          <w:color w:val="auto"/>
          <w:kern w:val="0"/>
          <w:sz w:val="30"/>
          <w:szCs w:val="30"/>
          <w:lang w:val="en-US" w:eastAsia="zh-CN"/>
        </w:rPr>
        <w:t>3.规范经济管理，组织指导经济发展和经济结构调整。加强综合生产能力建设；健全社会化服务体系，完善产业支持保护体系，推进产业现代化；着力提升经济发展的质量和水平，发展壮大村级经济，增加村（居）民收入不断提高人民生活水平。</w:t>
      </w:r>
    </w:p>
    <w:p w14:paraId="6CAAB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color w:val="auto"/>
          <w:kern w:val="0"/>
          <w:sz w:val="30"/>
          <w:szCs w:val="30"/>
          <w:lang w:val="en-US" w:eastAsia="zh-CN"/>
        </w:rPr>
      </w:pPr>
      <w:r>
        <w:rPr>
          <w:rFonts w:hint="eastAsia" w:ascii="仿宋" w:hAnsi="仿宋" w:eastAsia="仿宋" w:cs="仿宋"/>
          <w:color w:val="auto"/>
          <w:kern w:val="0"/>
          <w:sz w:val="30"/>
          <w:szCs w:val="30"/>
          <w:lang w:val="en-US" w:eastAsia="zh-CN"/>
        </w:rPr>
        <w:t>4.加强社会管理和基础设施建设，创造良好环境。推进政务、村（居）务公开；抓好卫生健康工作，保障妇女儿童合法权益；加强自然资源管理、生态环境保护和修复等工作；加强人民武装、民族宗教等工作；强化安全生产和公共安全，组织抢险救灾、优抚救助，及时上报和处置重大社情、疫情、险情等，保护人民群众的生命财产安全。</w:t>
      </w:r>
    </w:p>
    <w:p w14:paraId="530DBA2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color w:val="auto"/>
          <w:kern w:val="0"/>
          <w:sz w:val="30"/>
          <w:szCs w:val="30"/>
          <w:lang w:val="en-US" w:eastAsia="zh-CN"/>
        </w:rPr>
      </w:pPr>
      <w:r>
        <w:rPr>
          <w:rFonts w:hint="eastAsia" w:ascii="仿宋" w:hAnsi="仿宋" w:eastAsia="仿宋" w:cs="仿宋"/>
          <w:color w:val="auto"/>
          <w:kern w:val="0"/>
          <w:sz w:val="30"/>
          <w:szCs w:val="30"/>
          <w:lang w:val="en-US" w:eastAsia="zh-CN"/>
        </w:rPr>
        <w:t>5.发展公益事业，强化公共服务，搞好公共设施建设，开展社会保障服务，着力解决群众生产生活中的问题；发展科教文卫事业，促进精神文明建设；制订公共服务事项目录清单，加强公共服务体系建设。</w:t>
      </w:r>
    </w:p>
    <w:p w14:paraId="1538B11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color w:val="auto"/>
          <w:kern w:val="0"/>
          <w:sz w:val="30"/>
          <w:szCs w:val="30"/>
          <w:lang w:val="en-US" w:eastAsia="zh-CN"/>
        </w:rPr>
      </w:pPr>
      <w:r>
        <w:rPr>
          <w:rFonts w:hint="eastAsia" w:ascii="仿宋" w:hAnsi="仿宋" w:eastAsia="仿宋" w:cs="仿宋"/>
          <w:color w:val="auto"/>
          <w:kern w:val="0"/>
          <w:sz w:val="30"/>
          <w:szCs w:val="30"/>
          <w:lang w:val="en-US" w:eastAsia="zh-CN"/>
        </w:rPr>
        <w:t>6.加强综合治理，维护社会稳定。调解民事纠纷、化解社会矛盾，接待上访群众，处理群体性突发事件，保证社会公正，维护社会秩序和社会稳定。指导村（居）民自治，推动基层社会建设，促进社会组织健康发展，增强社会自治功能。</w:t>
      </w:r>
    </w:p>
    <w:p w14:paraId="7DE7BD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color w:val="auto"/>
          <w:kern w:val="0"/>
          <w:sz w:val="30"/>
          <w:szCs w:val="30"/>
          <w:lang w:val="en-US" w:eastAsia="zh-CN"/>
        </w:rPr>
      </w:pPr>
      <w:r>
        <w:rPr>
          <w:rFonts w:hint="eastAsia" w:ascii="仿宋" w:hAnsi="仿宋" w:eastAsia="仿宋" w:cs="仿宋"/>
          <w:color w:val="auto"/>
          <w:kern w:val="0"/>
          <w:sz w:val="30"/>
          <w:szCs w:val="30"/>
          <w:lang w:val="en-US" w:eastAsia="zh-CN"/>
        </w:rPr>
        <w:t>7.按照管理权限，负责机关和事业单位工作人员教育、培养、选拨和监督工作。协助管理好派驻单位人员。</w:t>
      </w:r>
    </w:p>
    <w:p w14:paraId="132ACDD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color w:val="auto"/>
          <w:kern w:val="0"/>
          <w:sz w:val="30"/>
          <w:szCs w:val="30"/>
          <w:lang w:val="en-US" w:eastAsia="zh-CN"/>
        </w:rPr>
      </w:pPr>
      <w:r>
        <w:rPr>
          <w:rFonts w:hint="eastAsia" w:ascii="仿宋" w:hAnsi="仿宋" w:eastAsia="仿宋" w:cs="仿宋"/>
          <w:color w:val="auto"/>
          <w:kern w:val="0"/>
          <w:sz w:val="30"/>
          <w:szCs w:val="30"/>
          <w:lang w:val="en-US" w:eastAsia="zh-CN"/>
        </w:rPr>
        <w:t>8.依法依规承担下放的经济社会管理权限和行政执法事项。</w:t>
      </w:r>
    </w:p>
    <w:p w14:paraId="00538FF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color w:val="auto"/>
          <w:kern w:val="0"/>
          <w:sz w:val="30"/>
          <w:szCs w:val="30"/>
          <w:lang w:val="en-US" w:eastAsia="zh-CN"/>
        </w:rPr>
      </w:pPr>
      <w:r>
        <w:rPr>
          <w:rFonts w:hint="eastAsia" w:ascii="仿宋" w:hAnsi="仿宋" w:eastAsia="仿宋" w:cs="仿宋"/>
          <w:color w:val="auto"/>
          <w:kern w:val="0"/>
          <w:sz w:val="30"/>
          <w:szCs w:val="30"/>
          <w:lang w:val="en-US" w:eastAsia="zh-CN"/>
        </w:rPr>
        <w:t>9.行使《中华人民共和国地方各级人民代表大会和地方各级人民政府组织法》等法律法规赋予的职权。</w:t>
      </w:r>
    </w:p>
    <w:p w14:paraId="547AAD97">
      <w:pPr>
        <w:keepNext w:val="0"/>
        <w:keepLines w:val="0"/>
        <w:pageBreakBefore w:val="0"/>
        <w:widowControl/>
        <w:kinsoku/>
        <w:wordWrap/>
        <w:overflowPunct/>
        <w:topLinePunct w:val="0"/>
        <w:autoSpaceDE/>
        <w:autoSpaceDN/>
        <w:bidi w:val="0"/>
        <w:spacing w:line="360" w:lineRule="auto"/>
        <w:ind w:firstLine="645"/>
        <w:jc w:val="left"/>
        <w:textAlignment w:val="auto"/>
        <w:rPr>
          <w:rFonts w:hint="eastAsia" w:ascii="楷体" w:hAnsi="楷体" w:eastAsia="楷体" w:cs="楷体"/>
          <w:b/>
          <w:bCs/>
          <w:sz w:val="32"/>
          <w:szCs w:val="32"/>
        </w:rPr>
      </w:pPr>
      <w:r>
        <w:rPr>
          <w:rFonts w:hint="eastAsia" w:ascii="楷体" w:hAnsi="楷体" w:eastAsia="楷体" w:cs="楷体"/>
          <w:b/>
          <w:bCs/>
          <w:sz w:val="32"/>
          <w:szCs w:val="32"/>
        </w:rPr>
        <w:t>（四）绩效目标设定情况</w:t>
      </w:r>
    </w:p>
    <w:p w14:paraId="31687E59">
      <w:pPr>
        <w:keepNext w:val="0"/>
        <w:keepLines w:val="0"/>
        <w:pageBreakBefore w:val="0"/>
        <w:widowControl/>
        <w:kinsoku/>
        <w:wordWrap/>
        <w:overflowPunct/>
        <w:topLinePunct w:val="0"/>
        <w:autoSpaceDE/>
        <w:autoSpaceDN/>
        <w:bidi w:val="0"/>
        <w:spacing w:line="360" w:lineRule="auto"/>
        <w:ind w:firstLine="600" w:firstLineChars="200"/>
        <w:jc w:val="left"/>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在收支预算内，确保完成以下整体目标：</w:t>
      </w:r>
    </w:p>
    <w:p w14:paraId="7DA84F45">
      <w:pPr>
        <w:keepNext w:val="0"/>
        <w:keepLines w:val="0"/>
        <w:pageBreakBefore w:val="0"/>
        <w:widowControl/>
        <w:kinsoku/>
        <w:wordWrap/>
        <w:overflowPunct/>
        <w:topLinePunct w:val="0"/>
        <w:autoSpaceDE/>
        <w:autoSpaceDN/>
        <w:bidi w:val="0"/>
        <w:spacing w:line="360" w:lineRule="auto"/>
        <w:ind w:left="638" w:leftChars="304" w:firstLine="0" w:firstLineChars="0"/>
        <w:jc w:val="left"/>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目标1：保障人员支出和单位正常运转</w:t>
      </w:r>
    </w:p>
    <w:p w14:paraId="23C10635">
      <w:pPr>
        <w:keepNext w:val="0"/>
        <w:keepLines w:val="0"/>
        <w:pageBreakBefore w:val="0"/>
        <w:widowControl/>
        <w:kinsoku/>
        <w:wordWrap/>
        <w:overflowPunct/>
        <w:topLinePunct w:val="0"/>
        <w:autoSpaceDE/>
        <w:autoSpaceDN/>
        <w:bidi w:val="0"/>
        <w:spacing w:line="360" w:lineRule="auto"/>
        <w:ind w:left="638" w:leftChars="304" w:firstLine="0" w:firstLineChars="0"/>
        <w:jc w:val="left"/>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目标2：严格按照财务规章制度做好各项支出</w:t>
      </w:r>
    </w:p>
    <w:p w14:paraId="48B7BD6E">
      <w:pPr>
        <w:keepNext w:val="0"/>
        <w:keepLines w:val="0"/>
        <w:pageBreakBefore w:val="0"/>
        <w:widowControl/>
        <w:kinsoku/>
        <w:wordWrap/>
        <w:overflowPunct/>
        <w:topLinePunct w:val="0"/>
        <w:autoSpaceDE/>
        <w:autoSpaceDN/>
        <w:bidi w:val="0"/>
        <w:spacing w:line="360" w:lineRule="auto"/>
        <w:ind w:left="638" w:leftChars="304" w:firstLine="0" w:firstLineChars="0"/>
        <w:jc w:val="left"/>
        <w:textAlignment w:val="auto"/>
        <w:rPr>
          <w:rFonts w:hint="eastAsia" w:ascii="仿宋" w:hAnsi="仿宋" w:eastAsia="仿宋" w:cs="仿宋"/>
          <w:sz w:val="30"/>
          <w:szCs w:val="30"/>
        </w:rPr>
      </w:pPr>
      <w:r>
        <w:rPr>
          <w:rFonts w:hint="eastAsia" w:ascii="仿宋" w:hAnsi="仿宋" w:eastAsia="仿宋" w:cs="仿宋"/>
          <w:kern w:val="2"/>
          <w:sz w:val="30"/>
          <w:szCs w:val="30"/>
          <w:lang w:val="en-US" w:eastAsia="zh-CN" w:bidi="ar-SA"/>
        </w:rPr>
        <w:t>目标3：加强财务监督及内部控制管理，杜绝不合理开支，确保三公经费只降不升，厉行节约，落实过紧日子精神。</w:t>
      </w:r>
    </w:p>
    <w:p w14:paraId="18E36C45">
      <w:pPr>
        <w:keepNext w:val="0"/>
        <w:keepLines w:val="0"/>
        <w:pageBreakBefore w:val="0"/>
        <w:widowControl/>
        <w:kinsoku/>
        <w:wordWrap/>
        <w:overflowPunct/>
        <w:topLinePunct w:val="0"/>
        <w:autoSpaceDE/>
        <w:autoSpaceDN/>
        <w:bidi w:val="0"/>
        <w:spacing w:line="360" w:lineRule="auto"/>
        <w:ind w:firstLine="645"/>
        <w:jc w:val="left"/>
        <w:textAlignment w:val="auto"/>
        <w:rPr>
          <w:rFonts w:hint="eastAsia" w:ascii="仿宋" w:hAnsi="仿宋" w:eastAsia="仿宋" w:cs="仿宋"/>
          <w:sz w:val="30"/>
          <w:szCs w:val="30"/>
        </w:rPr>
      </w:pPr>
      <w:r>
        <w:rPr>
          <w:rFonts w:hint="eastAsia" w:ascii="仿宋" w:hAnsi="仿宋" w:eastAsia="仿宋" w:cs="仿宋"/>
          <w:sz w:val="30"/>
          <w:szCs w:val="30"/>
        </w:rPr>
        <w:t>二、一般公共预算支出情况</w:t>
      </w:r>
    </w:p>
    <w:p w14:paraId="6FA316AC">
      <w:pPr>
        <w:keepNext w:val="0"/>
        <w:keepLines w:val="0"/>
        <w:pageBreakBefore w:val="0"/>
        <w:kinsoku/>
        <w:wordWrap/>
        <w:overflowPunct/>
        <w:topLinePunct w:val="0"/>
        <w:autoSpaceDE/>
        <w:autoSpaceDN/>
        <w:bidi w:val="0"/>
        <w:adjustRightInd/>
        <w:spacing w:line="360" w:lineRule="auto"/>
        <w:ind w:firstLine="482" w:firstLineChars="150"/>
        <w:jc w:val="left"/>
        <w:textAlignment w:val="auto"/>
        <w:rPr>
          <w:rFonts w:hint="eastAsia" w:ascii="楷体" w:hAnsi="楷体" w:eastAsia="楷体" w:cs="楷体"/>
          <w:b/>
          <w:bCs/>
          <w:sz w:val="32"/>
          <w:szCs w:val="32"/>
        </w:rPr>
      </w:pPr>
      <w:r>
        <w:rPr>
          <w:rFonts w:hint="eastAsia" w:ascii="楷体" w:hAnsi="楷体" w:eastAsia="楷体" w:cs="楷体"/>
          <w:b/>
          <w:bCs/>
          <w:sz w:val="32"/>
          <w:szCs w:val="32"/>
        </w:rPr>
        <w:t>（一）经批复的预、决算情况</w:t>
      </w:r>
    </w:p>
    <w:p w14:paraId="106F4014">
      <w:pPr>
        <w:keepNext w:val="0"/>
        <w:keepLines w:val="0"/>
        <w:pageBreakBefore w:val="0"/>
        <w:kinsoku/>
        <w:wordWrap/>
        <w:overflowPunct/>
        <w:topLinePunct w:val="0"/>
        <w:autoSpaceDE/>
        <w:autoSpaceDN/>
        <w:bidi w:val="0"/>
        <w:adjustRightInd/>
        <w:spacing w:line="360" w:lineRule="auto"/>
        <w:ind w:firstLine="450" w:firstLineChars="150"/>
        <w:jc w:val="left"/>
        <w:textAlignment w:val="auto"/>
        <w:rPr>
          <w:rFonts w:hint="eastAsia" w:ascii="仿宋" w:hAnsi="仿宋" w:eastAsia="仿宋" w:cs="仿宋"/>
          <w:b/>
          <w:bCs/>
          <w:sz w:val="30"/>
          <w:szCs w:val="30"/>
        </w:rPr>
      </w:pPr>
      <w:r>
        <w:rPr>
          <w:rFonts w:hint="eastAsia" w:ascii="仿宋" w:hAnsi="仿宋" w:eastAsia="仿宋" w:cs="仿宋"/>
          <w:sz w:val="30"/>
          <w:szCs w:val="30"/>
          <w:lang w:val="en-US" w:eastAsia="zh-CN"/>
        </w:rPr>
        <w:t>2023</w:t>
      </w:r>
      <w:r>
        <w:rPr>
          <w:rFonts w:hint="eastAsia" w:ascii="仿宋" w:hAnsi="仿宋" w:eastAsia="仿宋" w:cs="仿宋"/>
          <w:sz w:val="30"/>
          <w:szCs w:val="30"/>
        </w:rPr>
        <w:t>年年初预算批复的基本支出为</w:t>
      </w:r>
      <w:r>
        <w:rPr>
          <w:rFonts w:hint="eastAsia" w:ascii="仿宋" w:hAnsi="仿宋" w:eastAsia="仿宋" w:cs="仿宋"/>
          <w:kern w:val="0"/>
          <w:sz w:val="30"/>
          <w:szCs w:val="30"/>
          <w:lang w:val="en-US" w:eastAsia="zh-CN" w:bidi="ar"/>
        </w:rPr>
        <w:t>813.16</w:t>
      </w:r>
      <w:r>
        <w:rPr>
          <w:rFonts w:hint="eastAsia" w:ascii="仿宋" w:hAnsi="仿宋" w:eastAsia="仿宋" w:cs="仿宋"/>
          <w:sz w:val="30"/>
          <w:szCs w:val="30"/>
        </w:rPr>
        <w:t>万元。</w:t>
      </w:r>
      <w:r>
        <w:rPr>
          <w:rFonts w:hint="eastAsia" w:ascii="仿宋" w:hAnsi="仿宋" w:eastAsia="仿宋" w:cs="仿宋"/>
          <w:kern w:val="0"/>
          <w:sz w:val="30"/>
          <w:szCs w:val="30"/>
          <w:lang w:val="en-US" w:eastAsia="zh-CN" w:bidi="ar"/>
        </w:rPr>
        <w:t>其中：一般公共服务支出647.58万元，占79.64%；社会保障和就业支出98.18万元，占12.07%；卫生健康支出27.94万元，占3.44%；住房保障支出39.46万元，占4.85%。</w:t>
      </w:r>
    </w:p>
    <w:p w14:paraId="7680702B">
      <w:pPr>
        <w:keepNext w:val="0"/>
        <w:keepLines w:val="0"/>
        <w:pageBreakBefore w:val="0"/>
        <w:widowControl/>
        <w:kinsoku/>
        <w:wordWrap/>
        <w:overflowPunct/>
        <w:topLinePunct w:val="0"/>
        <w:autoSpaceDE/>
        <w:autoSpaceDN/>
        <w:bidi w:val="0"/>
        <w:spacing w:line="360" w:lineRule="auto"/>
        <w:ind w:firstLine="645"/>
        <w:jc w:val="left"/>
        <w:textAlignment w:val="auto"/>
        <w:rPr>
          <w:rFonts w:hint="eastAsia" w:eastAsia="仿宋_GB2312"/>
          <w:sz w:val="32"/>
          <w:szCs w:val="32"/>
        </w:rPr>
      </w:pPr>
      <w:r>
        <w:rPr>
          <w:rFonts w:hint="eastAsia" w:ascii="楷体" w:hAnsi="楷体" w:eastAsia="楷体" w:cs="楷体"/>
          <w:b/>
          <w:bCs/>
          <w:sz w:val="32"/>
          <w:szCs w:val="32"/>
        </w:rPr>
        <w:t>（二）部门预算执行情况</w:t>
      </w:r>
    </w:p>
    <w:p w14:paraId="411819A0">
      <w:pPr>
        <w:pStyle w:val="5"/>
        <w:keepNext w:val="0"/>
        <w:keepLines w:val="0"/>
        <w:pageBreakBefore w:val="0"/>
        <w:widowControl/>
        <w:suppressLineNumbers w:val="0"/>
        <w:kinsoku/>
        <w:wordWrap/>
        <w:overflowPunct/>
        <w:topLinePunct w:val="0"/>
        <w:autoSpaceDE/>
        <w:autoSpaceDN/>
        <w:bidi w:val="0"/>
        <w:spacing w:before="0" w:beforeAutospacing="0" w:after="2" w:afterAutospacing="0" w:line="360" w:lineRule="auto"/>
        <w:ind w:left="0" w:right="0" w:firstLine="641"/>
        <w:textAlignment w:val="auto"/>
        <w:rPr>
          <w:rFonts w:hint="eastAsia" w:ascii="仿宋" w:hAnsi="仿宋" w:eastAsia="仿宋" w:cs="仿宋"/>
          <w:i w:val="0"/>
          <w:iCs w:val="0"/>
          <w:caps w:val="0"/>
          <w:color w:val="000000"/>
          <w:spacing w:val="0"/>
          <w:sz w:val="30"/>
          <w:szCs w:val="30"/>
          <w:lang w:eastAsia="zh-CN"/>
        </w:rPr>
      </w:pPr>
      <w:r>
        <w:rPr>
          <w:rFonts w:hint="eastAsia" w:ascii="仿宋" w:hAnsi="仿宋" w:eastAsia="仿宋" w:cs="仿宋"/>
          <w:i w:val="0"/>
          <w:iCs w:val="0"/>
          <w:caps w:val="0"/>
          <w:color w:val="000000"/>
          <w:spacing w:val="0"/>
          <w:sz w:val="30"/>
          <w:szCs w:val="30"/>
        </w:rPr>
        <w:t>2023年度</w:t>
      </w:r>
      <w:r>
        <w:rPr>
          <w:rFonts w:hint="eastAsia" w:ascii="仿宋" w:hAnsi="仿宋" w:eastAsia="仿宋" w:cs="仿宋"/>
          <w:i w:val="0"/>
          <w:iCs w:val="0"/>
          <w:caps w:val="0"/>
          <w:color w:val="000000"/>
          <w:spacing w:val="0"/>
          <w:sz w:val="30"/>
          <w:szCs w:val="30"/>
          <w:lang w:eastAsia="zh-CN"/>
        </w:rPr>
        <w:t>决算支出</w:t>
      </w:r>
      <w:r>
        <w:rPr>
          <w:rFonts w:hint="eastAsia" w:ascii="仿宋" w:hAnsi="仿宋" w:eastAsia="仿宋" w:cs="仿宋"/>
          <w:i w:val="0"/>
          <w:iCs w:val="0"/>
          <w:caps w:val="0"/>
          <w:color w:val="000000"/>
          <w:spacing w:val="0"/>
          <w:sz w:val="30"/>
          <w:szCs w:val="30"/>
        </w:rPr>
        <w:t>1,354.5万元，其中：人员经费909.71万元，占基本支出的67.16%，公用经费444.79万元，占基本支出的32.84%</w:t>
      </w:r>
      <w:r>
        <w:rPr>
          <w:rFonts w:hint="eastAsia" w:ascii="仿宋" w:hAnsi="仿宋" w:eastAsia="仿宋" w:cs="仿宋"/>
          <w:i w:val="0"/>
          <w:iCs w:val="0"/>
          <w:caps w:val="0"/>
          <w:color w:val="000000"/>
          <w:spacing w:val="0"/>
          <w:sz w:val="30"/>
          <w:szCs w:val="30"/>
          <w:lang w:eastAsia="zh-CN"/>
        </w:rPr>
        <w:t>。</w:t>
      </w:r>
    </w:p>
    <w:p w14:paraId="691C37C4">
      <w:pPr>
        <w:keepNext w:val="0"/>
        <w:keepLines w:val="0"/>
        <w:pageBreakBefore w:val="0"/>
        <w:kinsoku/>
        <w:wordWrap/>
        <w:overflowPunct/>
        <w:topLinePunct w:val="0"/>
        <w:autoSpaceDE/>
        <w:autoSpaceDN/>
        <w:bidi w:val="0"/>
        <w:adjustRightInd w:val="0"/>
        <w:snapToGrid w:val="0"/>
        <w:spacing w:line="360" w:lineRule="auto"/>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（三）"三公"经费使用和管理情况</w:t>
      </w:r>
    </w:p>
    <w:p w14:paraId="2DB23F7F">
      <w:pPr>
        <w:pStyle w:val="5"/>
        <w:keepNext w:val="0"/>
        <w:keepLines w:val="0"/>
        <w:pageBreakBefore w:val="0"/>
        <w:widowControl/>
        <w:suppressLineNumbers w:val="0"/>
        <w:kinsoku/>
        <w:wordWrap/>
        <w:overflowPunct/>
        <w:topLinePunct w:val="0"/>
        <w:autoSpaceDE/>
        <w:autoSpaceDN/>
        <w:bidi w:val="0"/>
        <w:spacing w:before="0" w:beforeAutospacing="0" w:after="2" w:afterAutospacing="0" w:line="360" w:lineRule="auto"/>
        <w:ind w:left="0" w:right="0" w:firstLine="640"/>
        <w:textAlignment w:val="auto"/>
        <w:rPr>
          <w:rFonts w:hint="eastAsia" w:ascii="仿宋" w:hAnsi="仿宋" w:eastAsia="仿宋" w:cs="仿宋"/>
          <w:i w:val="0"/>
          <w:iCs w:val="0"/>
          <w:caps w:val="0"/>
          <w:color w:val="000000"/>
          <w:spacing w:val="0"/>
          <w:sz w:val="30"/>
          <w:szCs w:val="30"/>
        </w:rPr>
      </w:pPr>
      <w:r>
        <w:rPr>
          <w:rFonts w:hint="eastAsia" w:ascii="仿宋" w:hAnsi="仿宋" w:eastAsia="仿宋" w:cs="仿宋"/>
          <w:i w:val="0"/>
          <w:iCs w:val="0"/>
          <w:caps w:val="0"/>
          <w:color w:val="000000"/>
          <w:spacing w:val="0"/>
          <w:sz w:val="30"/>
          <w:szCs w:val="30"/>
        </w:rPr>
        <w:t>“三公”经费财政拨款支出预算为3.1万元，支出决算为3.04万元</w:t>
      </w:r>
      <w:r>
        <w:rPr>
          <w:rFonts w:hint="eastAsia" w:ascii="仿宋" w:hAnsi="仿宋" w:eastAsia="仿宋" w:cs="仿宋"/>
          <w:kern w:val="2"/>
          <w:sz w:val="30"/>
          <w:szCs w:val="30"/>
          <w:lang w:val="en-US" w:eastAsia="zh-CN" w:bidi="ar-SA"/>
        </w:rPr>
        <w:t>，</w:t>
      </w:r>
      <w:r>
        <w:rPr>
          <w:rFonts w:hint="eastAsia" w:ascii="仿宋" w:hAnsi="仿宋" w:eastAsia="仿宋" w:cs="仿宋"/>
          <w:i w:val="0"/>
          <w:iCs w:val="0"/>
          <w:caps w:val="0"/>
          <w:color w:val="000000"/>
          <w:spacing w:val="0"/>
          <w:sz w:val="30"/>
          <w:szCs w:val="30"/>
        </w:rPr>
        <w:t>决算数小于预算数的主要原因是单位厉行节约，严格控制“三公”经费支出 ，与上年相比减少3.06万元，下降50.16%，下降的主要原因是厉行节约，落实过紧日子精神，招待开支放食堂接待。其中：因公出国（境）费支出预算为0万元，支出决算为0万元，由于年初预算为0万元，无法计算百分比，决算数与预算数一致，主要原因是我单位严格执行预算，因公出国（境）费支出与上年持平，主要原因是厉行节约，落实过紧日子精神。</w:t>
      </w:r>
    </w:p>
    <w:p w14:paraId="56F7DD3F">
      <w:pPr>
        <w:keepNext w:val="0"/>
        <w:keepLines w:val="0"/>
        <w:pageBreakBefore w:val="0"/>
        <w:kinsoku/>
        <w:wordWrap/>
        <w:overflowPunct/>
        <w:topLinePunct w:val="0"/>
        <w:autoSpaceDE/>
        <w:autoSpaceDN/>
        <w:bidi w:val="0"/>
        <w:adjustRightInd w:val="0"/>
        <w:snapToGrid w:val="0"/>
        <w:spacing w:line="360" w:lineRule="auto"/>
        <w:ind w:firstLine="643" w:firstLineChars="200"/>
        <w:textAlignment w:val="auto"/>
        <w:rPr>
          <w:rFonts w:hint="eastAsia" w:ascii="楷体" w:hAnsi="楷体" w:eastAsia="楷体" w:cs="楷体"/>
          <w:b/>
          <w:bCs/>
          <w:sz w:val="32"/>
          <w:szCs w:val="32"/>
        </w:rPr>
      </w:pPr>
    </w:p>
    <w:p w14:paraId="7B32793F">
      <w:pPr>
        <w:keepNext w:val="0"/>
        <w:keepLines w:val="0"/>
        <w:pageBreakBefore w:val="0"/>
        <w:widowControl/>
        <w:numPr>
          <w:ilvl w:val="0"/>
          <w:numId w:val="1"/>
        </w:numPr>
        <w:kinsoku/>
        <w:wordWrap/>
        <w:overflowPunct/>
        <w:topLinePunct w:val="0"/>
        <w:autoSpaceDE/>
        <w:autoSpaceDN/>
        <w:bidi w:val="0"/>
        <w:spacing w:line="360" w:lineRule="auto"/>
        <w:ind w:left="0" w:leftChars="0" w:firstLine="643" w:firstLineChars="200"/>
        <w:jc w:val="left"/>
        <w:textAlignment w:val="auto"/>
        <w:rPr>
          <w:rFonts w:hint="eastAsia" w:ascii="楷体" w:hAnsi="楷体" w:eastAsia="楷体" w:cs="楷体"/>
          <w:b/>
          <w:bCs/>
          <w:sz w:val="32"/>
          <w:szCs w:val="32"/>
        </w:rPr>
      </w:pPr>
      <w:r>
        <w:rPr>
          <w:rFonts w:hint="eastAsia" w:ascii="楷体" w:hAnsi="楷体" w:eastAsia="楷体" w:cs="楷体"/>
          <w:b/>
          <w:bCs/>
          <w:sz w:val="32"/>
          <w:szCs w:val="32"/>
        </w:rPr>
        <w:t>资金结转和结余情况</w:t>
      </w:r>
    </w:p>
    <w:p w14:paraId="163798A1">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b/>
          <w:bCs/>
          <w:sz w:val="30"/>
          <w:szCs w:val="30"/>
        </w:rPr>
      </w:pPr>
      <w:r>
        <w:rPr>
          <w:rFonts w:hint="eastAsia" w:ascii="仿宋" w:hAnsi="仿宋" w:eastAsia="仿宋" w:cs="仿宋"/>
          <w:color w:val="auto"/>
          <w:kern w:val="2"/>
          <w:sz w:val="30"/>
          <w:szCs w:val="30"/>
          <w:lang w:val="en-US" w:eastAsia="zh-CN" w:bidi="ar-SA"/>
        </w:rPr>
        <w:t>使用非财政拨款结余和专用结余0万元，年初结转和结余0万元，本年收入</w:t>
      </w:r>
      <w:r>
        <w:rPr>
          <w:rFonts w:hint="eastAsia" w:ascii="仿宋" w:hAnsi="仿宋" w:eastAsia="仿宋" w:cs="仿宋"/>
          <w:i w:val="0"/>
          <w:iCs w:val="0"/>
          <w:caps w:val="0"/>
          <w:color w:val="000000"/>
          <w:spacing w:val="0"/>
          <w:sz w:val="30"/>
          <w:szCs w:val="30"/>
        </w:rPr>
        <w:t>1,354.5万元</w:t>
      </w:r>
      <w:r>
        <w:rPr>
          <w:rFonts w:hint="eastAsia" w:ascii="仿宋" w:hAnsi="仿宋" w:eastAsia="仿宋" w:cs="仿宋"/>
          <w:color w:val="auto"/>
          <w:kern w:val="2"/>
          <w:sz w:val="30"/>
          <w:szCs w:val="30"/>
          <w:lang w:val="en-US" w:eastAsia="zh-CN" w:bidi="ar-SA"/>
        </w:rPr>
        <w:t>，本年支出</w:t>
      </w:r>
      <w:r>
        <w:rPr>
          <w:rFonts w:hint="eastAsia" w:ascii="仿宋" w:hAnsi="仿宋" w:eastAsia="仿宋" w:cs="仿宋"/>
          <w:i w:val="0"/>
          <w:iCs w:val="0"/>
          <w:caps w:val="0"/>
          <w:color w:val="000000"/>
          <w:spacing w:val="0"/>
          <w:sz w:val="30"/>
          <w:szCs w:val="30"/>
        </w:rPr>
        <w:t>1,354.5万元</w:t>
      </w:r>
      <w:r>
        <w:rPr>
          <w:rFonts w:hint="eastAsia" w:ascii="仿宋" w:hAnsi="仿宋" w:eastAsia="仿宋" w:cs="仿宋"/>
          <w:color w:val="auto"/>
          <w:kern w:val="2"/>
          <w:sz w:val="30"/>
          <w:szCs w:val="30"/>
          <w:lang w:val="en-US" w:eastAsia="zh-CN" w:bidi="ar-SA"/>
        </w:rPr>
        <w:t>，年末结转结余0万元。</w:t>
      </w:r>
    </w:p>
    <w:p w14:paraId="1E2BC3D1">
      <w:pPr>
        <w:keepNext w:val="0"/>
        <w:keepLines w:val="0"/>
        <w:pageBreakBefore w:val="0"/>
        <w:widowControl/>
        <w:numPr>
          <w:ilvl w:val="0"/>
          <w:numId w:val="2"/>
        </w:numPr>
        <w:kinsoku/>
        <w:wordWrap/>
        <w:overflowPunct/>
        <w:topLinePunct w:val="0"/>
        <w:autoSpaceDE/>
        <w:autoSpaceDN/>
        <w:bidi w:val="0"/>
        <w:spacing w:line="360" w:lineRule="auto"/>
        <w:ind w:firstLine="645"/>
        <w:jc w:val="left"/>
        <w:textAlignment w:val="auto"/>
        <w:rPr>
          <w:rFonts w:hint="eastAsia" w:eastAsia="黑体"/>
          <w:sz w:val="32"/>
          <w:szCs w:val="32"/>
        </w:rPr>
      </w:pPr>
      <w:r>
        <w:rPr>
          <w:rFonts w:hint="eastAsia" w:eastAsia="黑体"/>
          <w:sz w:val="32"/>
          <w:szCs w:val="32"/>
        </w:rPr>
        <w:t>政府性基金预算支出情况</w:t>
      </w:r>
    </w:p>
    <w:p w14:paraId="479C32DC">
      <w:pPr>
        <w:pStyle w:val="11"/>
        <w:keepNext w:val="0"/>
        <w:keepLines w:val="0"/>
        <w:pageBreakBefore w:val="0"/>
        <w:numPr>
          <w:ilvl w:val="0"/>
          <w:numId w:val="0"/>
        </w:numPr>
        <w:kinsoku/>
        <w:wordWrap/>
        <w:overflowPunct/>
        <w:topLinePunct w:val="0"/>
        <w:autoSpaceDE/>
        <w:autoSpaceDN/>
        <w:bidi w:val="0"/>
        <w:spacing w:line="360" w:lineRule="auto"/>
        <w:ind w:left="640" w:leftChars="0"/>
        <w:textAlignment w:val="auto"/>
        <w:rPr>
          <w:rFonts w:hint="eastAsia"/>
        </w:rPr>
      </w:pPr>
      <w:r>
        <w:rPr>
          <w:rFonts w:hint="eastAsia" w:ascii="Calibri" w:hAnsi="Calibri" w:eastAsia="仿宋_GB2312" w:cs="Times New Roman"/>
          <w:kern w:val="2"/>
          <w:sz w:val="32"/>
          <w:szCs w:val="32"/>
          <w:lang w:val="en-US" w:eastAsia="zh-CN" w:bidi="ar-SA"/>
        </w:rPr>
        <w:t>无政府性基金预算。</w:t>
      </w:r>
    </w:p>
    <w:p w14:paraId="3E2D6463">
      <w:pPr>
        <w:keepNext w:val="0"/>
        <w:keepLines w:val="0"/>
        <w:pageBreakBefore w:val="0"/>
        <w:widowControl/>
        <w:numPr>
          <w:ilvl w:val="0"/>
          <w:numId w:val="2"/>
        </w:numPr>
        <w:kinsoku/>
        <w:wordWrap/>
        <w:overflowPunct/>
        <w:topLinePunct w:val="0"/>
        <w:autoSpaceDE/>
        <w:autoSpaceDN/>
        <w:bidi w:val="0"/>
        <w:spacing w:line="360" w:lineRule="auto"/>
        <w:ind w:left="0" w:leftChars="0" w:firstLine="645" w:firstLineChars="0"/>
        <w:jc w:val="left"/>
        <w:textAlignment w:val="auto"/>
        <w:rPr>
          <w:rFonts w:hint="eastAsia" w:eastAsia="黑体"/>
          <w:sz w:val="32"/>
          <w:szCs w:val="32"/>
        </w:rPr>
      </w:pPr>
      <w:r>
        <w:rPr>
          <w:rFonts w:hint="eastAsia" w:eastAsia="黑体"/>
          <w:sz w:val="32"/>
          <w:szCs w:val="32"/>
        </w:rPr>
        <w:t>国有资本经营预算支出情况</w:t>
      </w:r>
    </w:p>
    <w:p w14:paraId="0CC6281B">
      <w:pPr>
        <w:pStyle w:val="11"/>
        <w:keepNext w:val="0"/>
        <w:keepLines w:val="0"/>
        <w:pageBreakBefore w:val="0"/>
        <w:numPr>
          <w:ilvl w:val="0"/>
          <w:numId w:val="0"/>
        </w:numPr>
        <w:kinsoku/>
        <w:wordWrap/>
        <w:overflowPunct/>
        <w:topLinePunct w:val="0"/>
        <w:autoSpaceDE/>
        <w:autoSpaceDN/>
        <w:bidi w:val="0"/>
        <w:spacing w:line="360" w:lineRule="auto"/>
        <w:ind w:left="640" w:leftChars="0"/>
        <w:textAlignment w:val="auto"/>
        <w:rPr>
          <w:rFonts w:hint="eastAsia"/>
        </w:rPr>
      </w:pPr>
      <w:r>
        <w:rPr>
          <w:rFonts w:hint="eastAsia" w:ascii="Calibri" w:hAnsi="Calibri" w:eastAsia="仿宋_GB2312" w:cs="Times New Roman"/>
          <w:kern w:val="2"/>
          <w:sz w:val="32"/>
          <w:szCs w:val="32"/>
          <w:lang w:val="en-US" w:eastAsia="zh-CN" w:bidi="ar-SA"/>
        </w:rPr>
        <w:t>无国有资本经营预算。</w:t>
      </w:r>
    </w:p>
    <w:p w14:paraId="52158416">
      <w:pPr>
        <w:keepNext w:val="0"/>
        <w:keepLines w:val="0"/>
        <w:pageBreakBefore w:val="0"/>
        <w:widowControl/>
        <w:numPr>
          <w:ilvl w:val="0"/>
          <w:numId w:val="2"/>
        </w:numPr>
        <w:kinsoku/>
        <w:wordWrap/>
        <w:overflowPunct/>
        <w:topLinePunct w:val="0"/>
        <w:autoSpaceDE/>
        <w:autoSpaceDN/>
        <w:bidi w:val="0"/>
        <w:spacing w:line="360" w:lineRule="auto"/>
        <w:ind w:left="0" w:leftChars="0" w:firstLine="645" w:firstLineChars="0"/>
        <w:jc w:val="left"/>
        <w:textAlignment w:val="auto"/>
        <w:rPr>
          <w:rFonts w:hint="eastAsia" w:eastAsia="黑体"/>
          <w:sz w:val="32"/>
          <w:szCs w:val="32"/>
        </w:rPr>
      </w:pPr>
      <w:r>
        <w:rPr>
          <w:rFonts w:hint="eastAsia" w:eastAsia="黑体"/>
          <w:sz w:val="32"/>
          <w:szCs w:val="32"/>
        </w:rPr>
        <w:t>社会保险基金预算支出情况</w:t>
      </w:r>
    </w:p>
    <w:p w14:paraId="2575C4D7">
      <w:pPr>
        <w:pStyle w:val="6"/>
        <w:keepNext w:val="0"/>
        <w:keepLines w:val="0"/>
        <w:pageBreakBefore w:val="0"/>
        <w:numPr>
          <w:ilvl w:val="0"/>
          <w:numId w:val="0"/>
        </w:numPr>
        <w:kinsoku/>
        <w:wordWrap/>
        <w:overflowPunct/>
        <w:topLinePunct w:val="0"/>
        <w:autoSpaceDE/>
        <w:autoSpaceDN/>
        <w:bidi w:val="0"/>
        <w:spacing w:line="360" w:lineRule="auto"/>
        <w:ind w:left="645" w:leftChars="0"/>
        <w:textAlignment w:val="auto"/>
        <w:rPr>
          <w:rFonts w:hint="eastAsia"/>
        </w:rPr>
      </w:pPr>
      <w:r>
        <w:rPr>
          <w:rFonts w:hint="eastAsia" w:eastAsia="仿宋_GB2312" w:cs="Times New Roman"/>
          <w:sz w:val="32"/>
          <w:szCs w:val="32"/>
          <w:lang w:val="en-US" w:eastAsia="zh-CN"/>
        </w:rPr>
        <w:t>无社会保险基金预算</w:t>
      </w:r>
      <w:r>
        <w:rPr>
          <w:rFonts w:hint="eastAsia" w:cs="Times New Roman"/>
          <w:sz w:val="32"/>
          <w:szCs w:val="32"/>
          <w:lang w:val="en-US" w:eastAsia="zh-CN"/>
        </w:rPr>
        <w:t>。</w:t>
      </w:r>
    </w:p>
    <w:p w14:paraId="16F45404">
      <w:pPr>
        <w:keepNext w:val="0"/>
        <w:keepLines w:val="0"/>
        <w:pageBreakBefore w:val="0"/>
        <w:widowControl/>
        <w:kinsoku/>
        <w:wordWrap/>
        <w:overflowPunct/>
        <w:topLinePunct w:val="0"/>
        <w:autoSpaceDE/>
        <w:autoSpaceDN/>
        <w:bidi w:val="0"/>
        <w:spacing w:line="360" w:lineRule="auto"/>
        <w:ind w:firstLine="645"/>
        <w:jc w:val="left"/>
        <w:textAlignment w:val="auto"/>
        <w:rPr>
          <w:rFonts w:hint="eastAsia" w:eastAsia="黑体"/>
          <w:sz w:val="32"/>
          <w:szCs w:val="32"/>
        </w:rPr>
      </w:pPr>
      <w:r>
        <w:rPr>
          <w:rFonts w:hint="eastAsia" w:eastAsia="黑体"/>
          <w:sz w:val="32"/>
          <w:szCs w:val="32"/>
        </w:rPr>
        <w:t>六、部门整体支出绩效情况</w:t>
      </w:r>
    </w:p>
    <w:p w14:paraId="784212FE">
      <w:pPr>
        <w:keepNext w:val="0"/>
        <w:keepLines w:val="0"/>
        <w:pageBreakBefore w:val="0"/>
        <w:kinsoku/>
        <w:wordWrap/>
        <w:overflowPunct/>
        <w:topLinePunct w:val="0"/>
        <w:autoSpaceDE/>
        <w:autoSpaceDN/>
        <w:bidi w:val="0"/>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从部门整体支出绩效评价结果来看，单位预算编制科学，民主理财，重大财务事项经由集体研究决策，财务制度健全。</w:t>
      </w:r>
    </w:p>
    <w:p w14:paraId="1448DFC5">
      <w:pPr>
        <w:keepNext w:val="0"/>
        <w:keepLines w:val="0"/>
        <w:pageBreakBefore w:val="0"/>
        <w:kinsoku/>
        <w:wordWrap/>
        <w:overflowPunct/>
        <w:topLinePunct w:val="0"/>
        <w:autoSpaceDE/>
        <w:autoSpaceDN/>
        <w:bidi w:val="0"/>
        <w:spacing w:line="360" w:lineRule="auto"/>
        <w:ind w:firstLine="629"/>
        <w:textAlignment w:val="auto"/>
        <w:rPr>
          <w:rFonts w:hint="eastAsia" w:ascii="仿宋" w:hAnsi="仿宋" w:eastAsia="仿宋" w:cs="仿宋"/>
          <w:color w:val="3F3F3F"/>
          <w:sz w:val="30"/>
          <w:szCs w:val="30"/>
        </w:rPr>
      </w:pPr>
      <w:r>
        <w:rPr>
          <w:rFonts w:hint="eastAsia" w:ascii="仿宋" w:hAnsi="仿宋" w:eastAsia="仿宋" w:cs="仿宋"/>
          <w:color w:val="3F3F3F"/>
          <w:sz w:val="30"/>
          <w:szCs w:val="30"/>
        </w:rPr>
        <w:t>1、进一步规范财务管理制度，狠抓“收入关”.全</w:t>
      </w:r>
      <w:r>
        <w:rPr>
          <w:rFonts w:hint="eastAsia" w:ascii="仿宋" w:hAnsi="仿宋" w:eastAsia="仿宋" w:cs="仿宋"/>
          <w:color w:val="3F3F3F"/>
          <w:sz w:val="30"/>
          <w:szCs w:val="30"/>
          <w:lang w:eastAsia="zh-CN"/>
        </w:rPr>
        <w:t>场</w:t>
      </w:r>
      <w:r>
        <w:rPr>
          <w:rFonts w:hint="eastAsia" w:ascii="仿宋" w:hAnsi="仿宋" w:eastAsia="仿宋" w:cs="仿宋"/>
          <w:color w:val="3F3F3F"/>
          <w:sz w:val="30"/>
          <w:szCs w:val="30"/>
        </w:rPr>
        <w:t>职工在单位领导的带领下，</w:t>
      </w:r>
      <w:r>
        <w:rPr>
          <w:rFonts w:hint="eastAsia" w:ascii="仿宋" w:hAnsi="仿宋" w:eastAsia="仿宋" w:cs="仿宋"/>
          <w:color w:val="3F3F3F"/>
          <w:sz w:val="30"/>
          <w:szCs w:val="30"/>
          <w:lang w:eastAsia="zh-CN"/>
        </w:rPr>
        <w:t>以</w:t>
      </w:r>
      <w:r>
        <w:rPr>
          <w:rFonts w:hint="eastAsia" w:ascii="仿宋" w:hAnsi="仿宋" w:eastAsia="仿宋" w:cs="仿宋"/>
          <w:color w:val="3F3F3F"/>
          <w:sz w:val="30"/>
          <w:szCs w:val="30"/>
        </w:rPr>
        <w:t>服务为中心，全心全意地投入到工作中，</w:t>
      </w:r>
      <w:r>
        <w:rPr>
          <w:rFonts w:hint="eastAsia" w:ascii="仿宋" w:hAnsi="仿宋" w:eastAsia="仿宋" w:cs="仿宋"/>
          <w:color w:val="3F3F3F"/>
          <w:sz w:val="30"/>
          <w:szCs w:val="30"/>
          <w:lang w:eastAsia="zh-CN"/>
        </w:rPr>
        <w:t>各项收入</w:t>
      </w:r>
      <w:r>
        <w:rPr>
          <w:rFonts w:hint="eastAsia" w:ascii="仿宋" w:hAnsi="仿宋" w:eastAsia="仿宋" w:cs="仿宋"/>
          <w:color w:val="3F3F3F"/>
          <w:sz w:val="30"/>
          <w:szCs w:val="30"/>
        </w:rPr>
        <w:t>有了很大的起色。</w:t>
      </w:r>
    </w:p>
    <w:p w14:paraId="1DCF21AB">
      <w:pPr>
        <w:keepNext w:val="0"/>
        <w:keepLines w:val="0"/>
        <w:pageBreakBefore w:val="0"/>
        <w:kinsoku/>
        <w:wordWrap/>
        <w:overflowPunct/>
        <w:topLinePunct w:val="0"/>
        <w:autoSpaceDE/>
        <w:autoSpaceDN/>
        <w:bidi w:val="0"/>
        <w:spacing w:line="360" w:lineRule="auto"/>
        <w:ind w:firstLine="629"/>
        <w:textAlignment w:val="auto"/>
        <w:rPr>
          <w:rFonts w:hint="eastAsia" w:ascii="仿宋" w:hAnsi="仿宋" w:eastAsia="仿宋" w:cs="仿宋"/>
          <w:color w:val="3F3F3F"/>
          <w:sz w:val="30"/>
          <w:szCs w:val="30"/>
        </w:rPr>
      </w:pPr>
      <w:r>
        <w:rPr>
          <w:rFonts w:hint="eastAsia" w:ascii="仿宋" w:hAnsi="仿宋" w:eastAsia="仿宋" w:cs="仿宋"/>
          <w:color w:val="3F3F3F"/>
          <w:sz w:val="30"/>
          <w:szCs w:val="30"/>
        </w:rPr>
        <w:t>2、进一步规范资金使用，把好“支出关”。单位经费开支按预算和单位财务管理制度执行，基本支出做到不铺张浪费，开源节流，20</w:t>
      </w:r>
      <w:r>
        <w:rPr>
          <w:rFonts w:hint="eastAsia" w:ascii="仿宋" w:hAnsi="仿宋" w:eastAsia="仿宋" w:cs="仿宋"/>
          <w:color w:val="3F3F3F"/>
          <w:sz w:val="30"/>
          <w:szCs w:val="30"/>
          <w:lang w:val="en-US" w:eastAsia="zh-CN"/>
        </w:rPr>
        <w:t>23</w:t>
      </w:r>
      <w:r>
        <w:rPr>
          <w:rFonts w:hint="eastAsia" w:ascii="仿宋" w:hAnsi="仿宋" w:eastAsia="仿宋" w:cs="仿宋"/>
          <w:color w:val="3F3F3F"/>
          <w:sz w:val="30"/>
          <w:szCs w:val="30"/>
        </w:rPr>
        <w:t>年度没有出国出境考察的情况，廉政建设情况良好。</w:t>
      </w:r>
    </w:p>
    <w:p w14:paraId="1FC81190">
      <w:pPr>
        <w:keepNext w:val="0"/>
        <w:keepLines w:val="0"/>
        <w:pageBreakBefore w:val="0"/>
        <w:kinsoku/>
        <w:wordWrap/>
        <w:overflowPunct/>
        <w:topLinePunct w:val="0"/>
        <w:autoSpaceDE/>
        <w:autoSpaceDN/>
        <w:bidi w:val="0"/>
        <w:spacing w:line="360" w:lineRule="auto"/>
        <w:ind w:firstLine="629"/>
        <w:textAlignment w:val="auto"/>
        <w:rPr>
          <w:rFonts w:hint="eastAsia" w:ascii="仿宋" w:hAnsi="仿宋" w:eastAsia="仿宋" w:cs="仿宋"/>
          <w:color w:val="3F3F3F"/>
          <w:sz w:val="30"/>
          <w:szCs w:val="30"/>
        </w:rPr>
      </w:pPr>
      <w:r>
        <w:rPr>
          <w:rFonts w:hint="eastAsia" w:ascii="仿宋" w:hAnsi="仿宋" w:eastAsia="仿宋" w:cs="仿宋"/>
          <w:color w:val="3F3F3F"/>
          <w:sz w:val="30"/>
          <w:szCs w:val="30"/>
        </w:rPr>
        <w:t>3、进一步推进预决算等重要信息的公开透明。20</w:t>
      </w:r>
      <w:r>
        <w:rPr>
          <w:rFonts w:hint="eastAsia" w:ascii="仿宋" w:hAnsi="仿宋" w:eastAsia="仿宋" w:cs="仿宋"/>
          <w:color w:val="3F3F3F"/>
          <w:sz w:val="30"/>
          <w:szCs w:val="30"/>
          <w:lang w:val="en-US" w:eastAsia="zh-CN"/>
        </w:rPr>
        <w:t>23</w:t>
      </w:r>
      <w:r>
        <w:rPr>
          <w:rFonts w:hint="eastAsia" w:ascii="仿宋" w:hAnsi="仿宋" w:eastAsia="仿宋" w:cs="仿宋"/>
          <w:color w:val="3F3F3F"/>
          <w:sz w:val="30"/>
          <w:szCs w:val="30"/>
        </w:rPr>
        <w:t>年度在网站上公开部门预算信息及单位整体财务情况，做到主动接受社会公众的监督。</w:t>
      </w:r>
    </w:p>
    <w:p w14:paraId="149D4054">
      <w:pPr>
        <w:keepNext w:val="0"/>
        <w:keepLines w:val="0"/>
        <w:pageBreakBefore w:val="0"/>
        <w:widowControl/>
        <w:kinsoku/>
        <w:wordWrap/>
        <w:overflowPunct/>
        <w:topLinePunct w:val="0"/>
        <w:autoSpaceDE/>
        <w:autoSpaceDN/>
        <w:bidi w:val="0"/>
        <w:spacing w:line="360" w:lineRule="auto"/>
        <w:ind w:firstLine="645"/>
        <w:jc w:val="left"/>
        <w:textAlignment w:val="auto"/>
        <w:rPr>
          <w:rFonts w:hint="eastAsia" w:eastAsia="黑体"/>
          <w:sz w:val="32"/>
          <w:szCs w:val="32"/>
        </w:rPr>
      </w:pPr>
      <w:r>
        <w:rPr>
          <w:rFonts w:hint="eastAsia" w:eastAsia="黑体"/>
          <w:sz w:val="32"/>
          <w:szCs w:val="32"/>
        </w:rPr>
        <w:t>七、存在的问题及原因分析</w:t>
      </w:r>
    </w:p>
    <w:p w14:paraId="2FF9506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jc w:val="both"/>
        <w:textAlignment w:val="auto"/>
        <w:rPr>
          <w:rFonts w:hint="eastAsia" w:eastAsia="仿宋_GB2312"/>
          <w:sz w:val="30"/>
          <w:szCs w:val="30"/>
          <w:lang w:eastAsia="zh-CN"/>
        </w:rPr>
      </w:pPr>
      <w:r>
        <w:rPr>
          <w:rFonts w:hint="eastAsia" w:ascii="仿宋" w:hAnsi="仿宋" w:eastAsia="仿宋" w:cs="仿宋"/>
          <w:b w:val="0"/>
          <w:bCs w:val="0"/>
          <w:sz w:val="30"/>
          <w:szCs w:val="30"/>
          <w:lang w:val="en-US" w:eastAsia="zh-CN"/>
        </w:rPr>
        <w:t>产业基础较为薄弱；财政收支矛盾较为突出；教育、医疗、养老等民生事业还存在短板；政府治理效能有待进一步提升，乡村振兴任重道远。</w:t>
      </w:r>
    </w:p>
    <w:p w14:paraId="13D35484">
      <w:pPr>
        <w:keepNext w:val="0"/>
        <w:keepLines w:val="0"/>
        <w:pageBreakBefore w:val="0"/>
        <w:widowControl/>
        <w:numPr>
          <w:ilvl w:val="0"/>
          <w:numId w:val="3"/>
        </w:numPr>
        <w:kinsoku/>
        <w:wordWrap/>
        <w:overflowPunct/>
        <w:topLinePunct w:val="0"/>
        <w:autoSpaceDE/>
        <w:autoSpaceDN/>
        <w:bidi w:val="0"/>
        <w:spacing w:line="360" w:lineRule="auto"/>
        <w:ind w:firstLine="645"/>
        <w:jc w:val="left"/>
        <w:textAlignment w:val="auto"/>
        <w:rPr>
          <w:rFonts w:hint="eastAsia" w:eastAsia="黑体"/>
          <w:sz w:val="32"/>
          <w:szCs w:val="32"/>
        </w:rPr>
      </w:pPr>
      <w:r>
        <w:rPr>
          <w:rFonts w:hint="eastAsia" w:eastAsia="黑体"/>
          <w:sz w:val="32"/>
          <w:szCs w:val="32"/>
        </w:rPr>
        <w:t>下一步改进措施</w:t>
      </w:r>
    </w:p>
    <w:p w14:paraId="1E7449BF">
      <w:pPr>
        <w:keepNext w:val="0"/>
        <w:keepLines w:val="0"/>
        <w:pageBreakBefore w:val="0"/>
        <w:widowControl w:val="0"/>
        <w:kinsoku/>
        <w:wordWrap/>
        <w:overflowPunct/>
        <w:topLinePunct w:val="0"/>
        <w:autoSpaceDE/>
        <w:autoSpaceDN/>
        <w:bidi w:val="0"/>
        <w:adjustRightInd/>
        <w:snapToGrid/>
        <w:spacing w:line="360" w:lineRule="auto"/>
        <w:ind w:left="0" w:leftChars="0" w:firstLine="643" w:firstLineChars="200"/>
        <w:textAlignment w:val="auto"/>
        <w:rPr>
          <w:rFonts w:hint="eastAsia" w:ascii="仿宋_GB2312" w:hAnsi="仿宋_GB2312" w:eastAsia="仿宋_GB2312" w:cs="仿宋_GB2312"/>
          <w:i w:val="0"/>
          <w:iCs w:val="0"/>
          <w:caps w:val="0"/>
          <w:color w:val="000000"/>
          <w:spacing w:val="0"/>
          <w:sz w:val="30"/>
          <w:szCs w:val="30"/>
          <w:lang w:val="en-US" w:eastAsia="zh-CN"/>
        </w:rPr>
      </w:pP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rPr>
        <w:t>坚持产业驱动</w:t>
      </w:r>
      <w:r>
        <w:rPr>
          <w:rFonts w:hint="eastAsia" w:ascii="楷体_GB2312" w:hAnsi="楷体_GB2312" w:eastAsia="楷体_GB2312" w:cs="楷体_GB2312"/>
          <w:b/>
          <w:bCs/>
          <w:sz w:val="32"/>
          <w:szCs w:val="32"/>
          <w:lang w:eastAsia="zh-CN"/>
        </w:rPr>
        <w:t>，在经济发展赛道上奋力赶超。</w:t>
      </w:r>
      <w:r>
        <w:rPr>
          <w:rFonts w:hint="eastAsia" w:ascii="仿宋_GB2312" w:hAnsi="仿宋_GB2312" w:eastAsia="仿宋_GB2312" w:cs="仿宋_GB2312"/>
          <w:b/>
          <w:bCs/>
          <w:sz w:val="32"/>
          <w:szCs w:val="32"/>
          <w:lang w:val="en-US" w:eastAsia="zh-CN"/>
        </w:rPr>
        <w:t>一是</w:t>
      </w:r>
      <w:r>
        <w:rPr>
          <w:rFonts w:hint="eastAsia" w:ascii="仿宋_GB2312" w:hAnsi="仿宋_GB2312" w:eastAsia="仿宋_GB2312" w:cs="仿宋_GB2312"/>
          <w:b/>
          <w:bCs/>
          <w:i w:val="0"/>
          <w:iCs w:val="0"/>
          <w:caps w:val="0"/>
          <w:color w:val="000000"/>
          <w:spacing w:val="0"/>
          <w:sz w:val="32"/>
          <w:szCs w:val="32"/>
          <w:lang w:val="en-US" w:eastAsia="zh-CN"/>
        </w:rPr>
        <w:t>保障粮食安全。</w:t>
      </w:r>
      <w:r>
        <w:rPr>
          <w:rFonts w:hint="eastAsia" w:ascii="仿宋_GB2312" w:hAnsi="仿宋_GB2312" w:eastAsia="仿宋_GB2312" w:cs="仿宋_GB2312"/>
          <w:sz w:val="30"/>
          <w:szCs w:val="30"/>
          <w:lang w:val="en-US" w:eastAsia="zh-CN"/>
        </w:rPr>
        <w:t>全面实行最严格的耕地保护制度，采取“长牙齿”的硬措施切实保护好耕地，坚决遏制耕地“非农化”、防止“非粮化”，做到现有耕地不少、新增耕地不减、乱占耕地不让。全力争取涉农项目，推进小型农田水利、高标准农田等项目建设，增强农业抗灾能力，提升粮食产能</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b/>
          <w:bCs/>
          <w:i w:val="0"/>
          <w:iCs w:val="0"/>
          <w:caps w:val="0"/>
          <w:color w:val="000000"/>
          <w:spacing w:val="0"/>
          <w:sz w:val="32"/>
          <w:szCs w:val="32"/>
          <w:lang w:val="en-US" w:eastAsia="zh-CN"/>
        </w:rPr>
        <w:t>二是壮大集体经济。</w:t>
      </w:r>
      <w:r>
        <w:rPr>
          <w:rFonts w:hint="eastAsia" w:ascii="仿宋_GB2312" w:hAnsi="仿宋_GB2312" w:eastAsia="仿宋_GB2312" w:cs="仿宋_GB2312"/>
          <w:sz w:val="30"/>
          <w:szCs w:val="30"/>
          <w:lang w:val="en-US" w:eastAsia="zh-CN"/>
        </w:rPr>
        <w:t>依托种植大户与村级集体经济发展，发挥财政补贴引导作用，继续抓好土地集中流转和新型农业经营主体培育，全力推进、协调服务土地流转，做到应流转尽流转。</w:t>
      </w:r>
      <w:r>
        <w:rPr>
          <w:rFonts w:hint="eastAsia" w:ascii="仿宋_GB2312" w:hAnsi="仿宋_GB2312" w:eastAsia="仿宋_GB2312" w:cs="仿宋_GB2312"/>
          <w:b/>
          <w:bCs/>
          <w:i w:val="0"/>
          <w:iCs w:val="0"/>
          <w:caps w:val="0"/>
          <w:color w:val="000000"/>
          <w:spacing w:val="0"/>
          <w:sz w:val="30"/>
          <w:szCs w:val="30"/>
          <w:lang w:val="en-US" w:eastAsia="zh-CN"/>
        </w:rPr>
        <w:t>三是发展农业经济。</w:t>
      </w:r>
      <w:r>
        <w:rPr>
          <w:rFonts w:hint="eastAsia" w:ascii="仿宋_GB2312" w:hAnsi="仿宋_GB2312" w:eastAsia="仿宋_GB2312" w:cs="仿宋_GB2312"/>
          <w:sz w:val="30"/>
          <w:szCs w:val="30"/>
          <w:lang w:val="en-US" w:eastAsia="zh-CN"/>
        </w:rPr>
        <w:t>着力抓好油茶、水稻、等示范片打造，支持经营主体发展特色产业，打造片区亮点，延伸产业链条。紧紧围绕打造“农业经济强场”，紧紧依靠产业基础、人文资源和生态优势，做好产业融合联动文章，走差异化、特色化的发展新路。</w:t>
      </w:r>
    </w:p>
    <w:p w14:paraId="1EF73342">
      <w:pPr>
        <w:keepNext w:val="0"/>
        <w:keepLines w:val="0"/>
        <w:pageBreakBefore w:val="0"/>
        <w:widowControl w:val="0"/>
        <w:kinsoku/>
        <w:wordWrap/>
        <w:overflowPunct/>
        <w:topLinePunct w:val="0"/>
        <w:autoSpaceDE/>
        <w:autoSpaceDN/>
        <w:bidi w:val="0"/>
        <w:adjustRightInd/>
        <w:snapToGrid/>
        <w:spacing w:line="360" w:lineRule="auto"/>
        <w:ind w:left="0" w:leftChars="0" w:firstLine="602" w:firstLineChars="200"/>
        <w:textAlignment w:val="auto"/>
        <w:rPr>
          <w:rFonts w:hint="eastAsia" w:ascii="仿宋_GB2312" w:hAnsi="仿宋_GB2312" w:eastAsia="仿宋_GB2312" w:cs="仿宋_GB2312"/>
          <w:sz w:val="30"/>
          <w:szCs w:val="30"/>
        </w:rPr>
      </w:pPr>
      <w:r>
        <w:rPr>
          <w:rFonts w:hint="eastAsia" w:ascii="楷体_GB2312" w:hAnsi="楷体_GB2312" w:eastAsia="楷体_GB2312" w:cs="楷体_GB2312"/>
          <w:b/>
          <w:bCs/>
          <w:sz w:val="30"/>
          <w:szCs w:val="30"/>
          <w:lang w:val="en-US" w:eastAsia="zh-CN"/>
        </w:rPr>
        <w:t>二、</w:t>
      </w:r>
      <w:r>
        <w:rPr>
          <w:rFonts w:hint="eastAsia" w:ascii="楷体_GB2312" w:hAnsi="楷体_GB2312" w:eastAsia="楷体_GB2312" w:cs="楷体_GB2312"/>
          <w:b/>
          <w:bCs/>
          <w:sz w:val="30"/>
          <w:szCs w:val="30"/>
          <w:lang w:eastAsia="zh-CN"/>
        </w:rPr>
        <w:t>坚持生态提质，在城乡统筹发展上双向发力。</w:t>
      </w:r>
      <w:r>
        <w:rPr>
          <w:rFonts w:hint="eastAsia" w:ascii="仿宋_GB2312" w:hAnsi="仿宋_GB2312" w:eastAsia="仿宋_GB2312" w:cs="仿宋_GB2312"/>
          <w:b/>
          <w:bCs/>
          <w:sz w:val="30"/>
          <w:szCs w:val="30"/>
          <w:lang w:val="en-US" w:eastAsia="zh-CN"/>
        </w:rPr>
        <w:t>一是坚持生态优先。</w:t>
      </w:r>
      <w:r>
        <w:rPr>
          <w:rFonts w:hint="eastAsia" w:ascii="仿宋_GB2312" w:hAnsi="仿宋_GB2312" w:eastAsia="仿宋_GB2312" w:cs="仿宋_GB2312"/>
          <w:sz w:val="30"/>
          <w:szCs w:val="30"/>
          <w:lang w:val="en-US" w:eastAsia="zh-CN"/>
        </w:rPr>
        <w:t>积极践行“绿水青山就是金山银山”的发展理念，深入打好蓝天、碧水、净土保卫战，严守生态保护红线，打造绿色发展高地。持续推动夫夷河水域禁捕退捕，全面落实“河长制”“林长制”“田长制”，保护森林资源，建设宜居宜业和美乡村。</w:t>
      </w:r>
      <w:r>
        <w:rPr>
          <w:rFonts w:hint="eastAsia" w:ascii="仿宋_GB2312" w:hAnsi="仿宋_GB2312" w:eastAsia="仿宋_GB2312" w:cs="仿宋_GB2312"/>
          <w:b/>
          <w:bCs/>
          <w:i w:val="0"/>
          <w:iCs w:val="0"/>
          <w:caps w:val="0"/>
          <w:color w:val="000000"/>
          <w:spacing w:val="0"/>
          <w:sz w:val="30"/>
          <w:szCs w:val="30"/>
          <w:lang w:val="en-US" w:eastAsia="zh-CN"/>
        </w:rPr>
        <w:t>二是环境整治常态化。</w:t>
      </w:r>
      <w:r>
        <w:rPr>
          <w:rFonts w:hint="eastAsia" w:ascii="仿宋_GB2312" w:hAnsi="仿宋_GB2312" w:eastAsia="仿宋_GB2312" w:cs="仿宋_GB2312"/>
          <w:sz w:val="30"/>
          <w:szCs w:val="30"/>
        </w:rPr>
        <w:t>坚持改面貌、强设施、提品质，以“四美四化”为抓手，深入开展农村人居环境整治</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lang w:val="en-US" w:eastAsia="zh-CN"/>
        </w:rPr>
        <w:t>实现旱厕清零，“空心房”应拆尽拆。深入推动农村移风易俗，继续培育文明乡风，营造文明和谐的村居环境。持续开</w:t>
      </w:r>
      <w:r>
        <w:rPr>
          <w:rFonts w:hint="eastAsia" w:ascii="仿宋_GB2312" w:hAnsi="仿宋_GB2312" w:eastAsia="仿宋_GB2312" w:cs="仿宋_GB2312"/>
          <w:sz w:val="30"/>
          <w:szCs w:val="30"/>
        </w:rPr>
        <w:t>展</w:t>
      </w:r>
      <w:r>
        <w:rPr>
          <w:rFonts w:hint="eastAsia" w:ascii="仿宋_GB2312" w:hAnsi="仿宋_GB2312" w:eastAsia="仿宋_GB2312" w:cs="仿宋_GB2312"/>
          <w:sz w:val="30"/>
          <w:szCs w:val="30"/>
          <w:lang w:val="en-US" w:eastAsia="zh-CN"/>
        </w:rPr>
        <w:t>城乡</w:t>
      </w:r>
      <w:r>
        <w:rPr>
          <w:rFonts w:hint="eastAsia" w:ascii="仿宋_GB2312" w:hAnsi="仿宋_GB2312" w:eastAsia="仿宋_GB2312" w:cs="仿宋_GB2312"/>
          <w:sz w:val="30"/>
          <w:szCs w:val="30"/>
        </w:rPr>
        <w:t>整治</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lang w:val="en-US" w:eastAsia="zh-CN"/>
        </w:rPr>
        <w:t>以清理牛皮癣、乱搭乱建、乱摆乱放、为重点推进标准化建设。</w:t>
      </w:r>
      <w:r>
        <w:rPr>
          <w:rFonts w:hint="eastAsia" w:ascii="仿宋_GB2312" w:hAnsi="仿宋_GB2312" w:eastAsia="仿宋_GB2312" w:cs="仿宋_GB2312"/>
          <w:sz w:val="30"/>
          <w:szCs w:val="30"/>
        </w:rPr>
        <w:t>坚持教育引导与规范督促相结合，开展文明劝导、交通秩序整治，推进移风易俗，提升</w:t>
      </w:r>
      <w:r>
        <w:rPr>
          <w:rFonts w:hint="eastAsia" w:ascii="仿宋_GB2312" w:hAnsi="仿宋_GB2312" w:eastAsia="仿宋_GB2312" w:cs="仿宋_GB2312"/>
          <w:sz w:val="30"/>
          <w:szCs w:val="30"/>
          <w:lang w:val="en-US" w:eastAsia="zh-CN"/>
        </w:rPr>
        <w:t>群众</w:t>
      </w:r>
      <w:r>
        <w:rPr>
          <w:rFonts w:hint="eastAsia" w:ascii="仿宋_GB2312" w:hAnsi="仿宋_GB2312" w:eastAsia="仿宋_GB2312" w:cs="仿宋_GB2312"/>
          <w:sz w:val="30"/>
          <w:szCs w:val="30"/>
        </w:rPr>
        <w:t>文明素质。</w:t>
      </w:r>
    </w:p>
    <w:p w14:paraId="53BB7CE6">
      <w:pPr>
        <w:keepNext w:val="0"/>
        <w:keepLines w:val="0"/>
        <w:pageBreakBefore w:val="0"/>
        <w:widowControl w:val="0"/>
        <w:kinsoku/>
        <w:wordWrap/>
        <w:overflowPunct/>
        <w:topLinePunct w:val="0"/>
        <w:autoSpaceDE/>
        <w:autoSpaceDN/>
        <w:bidi w:val="0"/>
        <w:adjustRightInd/>
        <w:snapToGrid/>
        <w:spacing w:line="360" w:lineRule="auto"/>
        <w:ind w:left="0" w:leftChars="0" w:firstLine="602" w:firstLineChars="200"/>
        <w:textAlignment w:val="auto"/>
        <w:rPr>
          <w:rFonts w:hint="eastAsia" w:ascii="仿宋_GB2312" w:hAnsi="仿宋_GB2312" w:eastAsia="仿宋_GB2312" w:cs="仿宋_GB2312"/>
          <w:sz w:val="30"/>
          <w:szCs w:val="30"/>
        </w:rPr>
      </w:pPr>
      <w:r>
        <w:rPr>
          <w:rFonts w:hint="eastAsia" w:ascii="楷体_GB2312" w:hAnsi="楷体_GB2312" w:eastAsia="楷体_GB2312" w:cs="楷体_GB2312"/>
          <w:b/>
          <w:bCs/>
          <w:sz w:val="30"/>
          <w:szCs w:val="30"/>
          <w:lang w:val="en-US" w:eastAsia="zh-CN"/>
        </w:rPr>
        <w:t>三、</w:t>
      </w:r>
      <w:r>
        <w:rPr>
          <w:rFonts w:hint="eastAsia" w:ascii="楷体_GB2312" w:hAnsi="楷体_GB2312" w:eastAsia="楷体_GB2312" w:cs="楷体_GB2312"/>
          <w:b/>
          <w:bCs/>
          <w:sz w:val="30"/>
          <w:szCs w:val="30"/>
          <w:lang w:eastAsia="zh-CN"/>
        </w:rPr>
        <w:t>坚持</w:t>
      </w:r>
      <w:r>
        <w:rPr>
          <w:rFonts w:hint="eastAsia" w:ascii="楷体_GB2312" w:hAnsi="楷体_GB2312" w:eastAsia="楷体_GB2312" w:cs="楷体_GB2312"/>
          <w:b/>
          <w:bCs/>
          <w:sz w:val="30"/>
          <w:szCs w:val="30"/>
          <w:lang w:val="en-US" w:eastAsia="zh-CN"/>
        </w:rPr>
        <w:t>惠民</w:t>
      </w:r>
      <w:r>
        <w:rPr>
          <w:rFonts w:hint="eastAsia" w:ascii="楷体_GB2312" w:hAnsi="楷体_GB2312" w:eastAsia="楷体_GB2312" w:cs="楷体_GB2312"/>
          <w:b/>
          <w:bCs/>
          <w:sz w:val="30"/>
          <w:szCs w:val="30"/>
          <w:lang w:eastAsia="zh-CN"/>
        </w:rPr>
        <w:t>保障，在公共服务能力上做优做强。</w:t>
      </w:r>
      <w:r>
        <w:rPr>
          <w:rFonts w:hint="eastAsia" w:ascii="仿宋_GB2312" w:hAnsi="仿宋_GB2312" w:eastAsia="仿宋_GB2312" w:cs="仿宋_GB2312"/>
          <w:b/>
          <w:bCs/>
          <w:sz w:val="30"/>
          <w:szCs w:val="30"/>
        </w:rPr>
        <w:t>一是社会保障提质扩面。</w:t>
      </w:r>
      <w:r>
        <w:rPr>
          <w:rFonts w:hint="eastAsia" w:ascii="仿宋_GB2312" w:hAnsi="仿宋_GB2312" w:eastAsia="仿宋_GB2312" w:cs="仿宋_GB2312"/>
          <w:sz w:val="30"/>
          <w:szCs w:val="30"/>
        </w:rPr>
        <w:t>坚持稳就业、重保障、促和谐，进一步健全和提升社会保障水平。积极推动创业就业，产业支撑就业，创业带动就业，实现更高质量和更充分的就业。继续开展低收入农民走访帮扶，注重技能人才培养，落实创业带动就业政策。稳妥推进民生兜底工作，做好低保、优抚、临时救助、社保等各项社会保障事务，更加注重对特定人群特殊困难的精准帮扶，支持慈善事业发展，推动社会救助扩面提质。</w:t>
      </w:r>
      <w:r>
        <w:rPr>
          <w:rFonts w:hint="eastAsia" w:ascii="仿宋_GB2312" w:hAnsi="仿宋_GB2312" w:eastAsia="仿宋_GB2312" w:cs="仿宋_GB2312"/>
          <w:b/>
          <w:bCs/>
          <w:sz w:val="30"/>
          <w:szCs w:val="30"/>
          <w:lang w:val="en-US" w:eastAsia="zh-CN"/>
        </w:rPr>
        <w:t>二</w:t>
      </w:r>
      <w:r>
        <w:rPr>
          <w:rFonts w:hint="eastAsia" w:ascii="仿宋_GB2312" w:hAnsi="仿宋_GB2312" w:eastAsia="仿宋_GB2312" w:cs="仿宋_GB2312"/>
          <w:b/>
          <w:bCs/>
          <w:sz w:val="30"/>
          <w:szCs w:val="30"/>
        </w:rPr>
        <w:t>是文化供给更加丰富。</w:t>
      </w:r>
      <w:r>
        <w:rPr>
          <w:rFonts w:hint="eastAsia" w:ascii="仿宋_GB2312" w:hAnsi="仿宋_GB2312" w:eastAsia="仿宋_GB2312" w:cs="仿宋_GB2312"/>
          <w:sz w:val="30"/>
          <w:szCs w:val="30"/>
        </w:rPr>
        <w:t>统筹优化公共文化服务供给，做好送戏下乡、</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lang w:val="en-US" w:eastAsia="zh-CN"/>
        </w:rPr>
        <w:t>村晚</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rPr>
        <w:t>等文化惠民工程。持续推进新时代文明实践站（所）等阵地建设</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rPr>
        <w:t>加强村级体育设施建设和维护。</w:t>
      </w:r>
    </w:p>
    <w:p w14:paraId="064EB747">
      <w:pPr>
        <w:keepNext w:val="0"/>
        <w:keepLines w:val="0"/>
        <w:pageBreakBefore w:val="0"/>
        <w:widowControl w:val="0"/>
        <w:kinsoku/>
        <w:wordWrap/>
        <w:overflowPunct/>
        <w:topLinePunct w:val="0"/>
        <w:autoSpaceDE/>
        <w:autoSpaceDN/>
        <w:bidi w:val="0"/>
        <w:adjustRightInd/>
        <w:snapToGrid/>
        <w:spacing w:line="360" w:lineRule="auto"/>
        <w:ind w:left="0" w:leftChars="0" w:firstLine="602" w:firstLineChars="200"/>
        <w:textAlignment w:val="auto"/>
        <w:rPr>
          <w:rFonts w:hint="eastAsia" w:ascii="仿宋_GB2312" w:hAnsi="仿宋_GB2312" w:eastAsia="仿宋_GB2312" w:cs="仿宋_GB2312"/>
          <w:sz w:val="30"/>
          <w:szCs w:val="30"/>
          <w:lang w:val="en-US" w:eastAsia="zh-CN"/>
        </w:rPr>
      </w:pPr>
      <w:r>
        <w:rPr>
          <w:rFonts w:hint="eastAsia" w:ascii="楷体_GB2312" w:hAnsi="楷体_GB2312" w:eastAsia="楷体_GB2312" w:cs="楷体_GB2312"/>
          <w:b/>
          <w:bCs/>
          <w:sz w:val="30"/>
          <w:szCs w:val="30"/>
          <w:lang w:val="en-US" w:eastAsia="zh-CN"/>
        </w:rPr>
        <w:t>四、坚持作风建设，在场机关自身建设上全面加强。</w:t>
      </w:r>
      <w:r>
        <w:rPr>
          <w:rFonts w:hint="eastAsia" w:ascii="仿宋_GB2312" w:hAnsi="仿宋_GB2312" w:eastAsia="仿宋_GB2312" w:cs="仿宋_GB2312"/>
          <w:b/>
          <w:bCs/>
          <w:sz w:val="30"/>
          <w:szCs w:val="30"/>
          <w:lang w:val="en-US" w:eastAsia="zh-CN"/>
        </w:rPr>
        <w:t>一是旗帜鲜明讲政治。</w:t>
      </w:r>
      <w:r>
        <w:rPr>
          <w:rFonts w:hint="eastAsia" w:ascii="仿宋_GB2312" w:hAnsi="仿宋_GB2312" w:eastAsia="仿宋_GB2312" w:cs="仿宋_GB2312"/>
          <w:sz w:val="30"/>
          <w:szCs w:val="30"/>
          <w:lang w:val="en-US" w:eastAsia="zh-CN"/>
        </w:rPr>
        <w:t>持之以恒学深悟透党的二十大精神，特别是习近平总书记考察湖南重要讲话和指示精神，坚定不移做</w:t>
      </w:r>
      <w:r>
        <w:rPr>
          <w:rFonts w:hint="default" w:ascii="仿宋_GB2312" w:hAnsi="仿宋_GB2312" w:eastAsia="仿宋_GB2312" w:cs="仿宋_GB2312"/>
          <w:sz w:val="30"/>
          <w:szCs w:val="30"/>
          <w:lang w:val="en-US" w:eastAsia="zh-CN"/>
        </w:rPr>
        <w:t>“</w:t>
      </w:r>
      <w:r>
        <w:rPr>
          <w:rFonts w:hint="eastAsia" w:ascii="仿宋_GB2312" w:hAnsi="仿宋_GB2312" w:eastAsia="仿宋_GB2312" w:cs="仿宋_GB2312"/>
          <w:sz w:val="30"/>
          <w:szCs w:val="30"/>
          <w:lang w:val="en-US" w:eastAsia="zh-CN"/>
        </w:rPr>
        <w:t>两个确立</w:t>
      </w:r>
      <w:r>
        <w:rPr>
          <w:rFonts w:hint="default" w:ascii="仿宋_GB2312" w:hAnsi="仿宋_GB2312" w:eastAsia="仿宋_GB2312" w:cs="仿宋_GB2312"/>
          <w:sz w:val="30"/>
          <w:szCs w:val="30"/>
          <w:lang w:val="en-US" w:eastAsia="zh-CN"/>
        </w:rPr>
        <w:t>”</w:t>
      </w:r>
      <w:r>
        <w:rPr>
          <w:rFonts w:hint="eastAsia" w:ascii="仿宋_GB2312" w:hAnsi="仿宋_GB2312" w:eastAsia="仿宋_GB2312" w:cs="仿宋_GB2312"/>
          <w:sz w:val="30"/>
          <w:szCs w:val="30"/>
          <w:lang w:val="en-US" w:eastAsia="zh-CN"/>
        </w:rPr>
        <w:t>忠诚拥护者、</w:t>
      </w:r>
      <w:r>
        <w:rPr>
          <w:rFonts w:hint="default" w:ascii="仿宋_GB2312" w:hAnsi="仿宋_GB2312" w:eastAsia="仿宋_GB2312" w:cs="仿宋_GB2312"/>
          <w:sz w:val="30"/>
          <w:szCs w:val="30"/>
          <w:lang w:val="en-US" w:eastAsia="zh-CN"/>
        </w:rPr>
        <w:t>“</w:t>
      </w:r>
      <w:r>
        <w:rPr>
          <w:rFonts w:hint="eastAsia" w:ascii="仿宋_GB2312" w:hAnsi="仿宋_GB2312" w:eastAsia="仿宋_GB2312" w:cs="仿宋_GB2312"/>
          <w:sz w:val="30"/>
          <w:szCs w:val="30"/>
          <w:lang w:val="en-US" w:eastAsia="zh-CN"/>
        </w:rPr>
        <w:t>两个维护</w:t>
      </w:r>
      <w:r>
        <w:rPr>
          <w:rFonts w:hint="default" w:ascii="仿宋_GB2312" w:hAnsi="仿宋_GB2312" w:eastAsia="仿宋_GB2312" w:cs="仿宋_GB2312"/>
          <w:sz w:val="30"/>
          <w:szCs w:val="30"/>
          <w:lang w:val="en-US" w:eastAsia="zh-CN"/>
        </w:rPr>
        <w:t>”</w:t>
      </w:r>
      <w:r>
        <w:rPr>
          <w:rFonts w:hint="eastAsia" w:ascii="仿宋_GB2312" w:hAnsi="仿宋_GB2312" w:eastAsia="仿宋_GB2312" w:cs="仿宋_GB2312"/>
          <w:sz w:val="30"/>
          <w:szCs w:val="30"/>
          <w:lang w:val="en-US" w:eastAsia="zh-CN"/>
        </w:rPr>
        <w:t>示范引领者。始终胸怀大局，以钉钉子精神确保中央、省市县决策部署和场党委工作要求得到最有力最有效地贯彻落实。</w:t>
      </w:r>
      <w:r>
        <w:rPr>
          <w:rFonts w:hint="eastAsia" w:ascii="仿宋_GB2312" w:hAnsi="仿宋_GB2312" w:eastAsia="仿宋_GB2312" w:cs="仿宋_GB2312"/>
          <w:b/>
          <w:bCs/>
          <w:sz w:val="30"/>
          <w:szCs w:val="30"/>
          <w:lang w:val="en-US" w:eastAsia="zh-CN"/>
        </w:rPr>
        <w:t>二是奋斗实干勇担当。</w:t>
      </w:r>
      <w:r>
        <w:rPr>
          <w:rFonts w:hint="eastAsia" w:ascii="仿宋_GB2312" w:hAnsi="仿宋_GB2312" w:eastAsia="仿宋_GB2312" w:cs="仿宋_GB2312"/>
          <w:sz w:val="30"/>
          <w:szCs w:val="30"/>
          <w:lang w:val="en-US" w:eastAsia="zh-CN"/>
        </w:rPr>
        <w:t>全面提升政府效能，突出抓纲带目抓落实，紧盯重点指标、重点项目、重点工作，完善闭环管理、分类考核、绩效奖励等机制，做到事事有着落、件件有回应。把标杆拉得更高、把工作做得更实，全力向上争政策、争项目、争资金，在全县竞争中拼进前茅。三</w:t>
      </w:r>
      <w:r>
        <w:rPr>
          <w:rFonts w:hint="eastAsia" w:ascii="仿宋_GB2312" w:hAnsi="仿宋_GB2312" w:eastAsia="仿宋_GB2312" w:cs="仿宋_GB2312"/>
          <w:b/>
          <w:bCs/>
          <w:i w:val="0"/>
          <w:iCs w:val="0"/>
          <w:caps w:val="0"/>
          <w:color w:val="000000"/>
          <w:spacing w:val="0"/>
          <w:sz w:val="30"/>
          <w:szCs w:val="30"/>
          <w:lang w:val="en-US" w:eastAsia="zh-CN"/>
        </w:rPr>
        <w:t>是驰而不息抓作风。</w:t>
      </w:r>
      <w:r>
        <w:rPr>
          <w:rFonts w:hint="eastAsia" w:ascii="仿宋_GB2312" w:hAnsi="仿宋_GB2312" w:eastAsia="仿宋_GB2312" w:cs="仿宋_GB2312"/>
          <w:sz w:val="30"/>
          <w:szCs w:val="30"/>
          <w:lang w:val="en-US" w:eastAsia="zh-CN"/>
        </w:rPr>
        <w:t>强化场村两级干部担当意识，带头践行“一线工作法”，把心思沉下去，把工作抓上来；场村两级干部要带头学政策、懂业务，着力解决思路不清、能力不强、工作不力等问题。要带头联系群众，群众合理诉求要无条件办，复杂问题要创造条件办，疑难杂症要跟踪处理。</w:t>
      </w:r>
    </w:p>
    <w:p w14:paraId="64C077E4">
      <w:pPr>
        <w:keepNext w:val="0"/>
        <w:keepLines w:val="0"/>
        <w:pageBreakBefore w:val="0"/>
        <w:widowControl/>
        <w:numPr>
          <w:ilvl w:val="0"/>
          <w:numId w:val="3"/>
        </w:numPr>
        <w:kinsoku/>
        <w:wordWrap/>
        <w:overflowPunct/>
        <w:topLinePunct w:val="0"/>
        <w:autoSpaceDE/>
        <w:autoSpaceDN/>
        <w:bidi w:val="0"/>
        <w:spacing w:line="360" w:lineRule="auto"/>
        <w:ind w:left="0" w:leftChars="0" w:firstLine="645" w:firstLineChars="0"/>
        <w:jc w:val="left"/>
        <w:textAlignment w:val="auto"/>
        <w:rPr>
          <w:rFonts w:hint="eastAsia" w:eastAsia="黑体"/>
          <w:sz w:val="30"/>
          <w:szCs w:val="30"/>
        </w:rPr>
      </w:pPr>
      <w:r>
        <w:rPr>
          <w:rFonts w:hint="eastAsia" w:eastAsia="黑体"/>
          <w:sz w:val="30"/>
          <w:szCs w:val="30"/>
        </w:rPr>
        <w:t>其他需要说明的情况</w:t>
      </w:r>
    </w:p>
    <w:p w14:paraId="7A8995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无。</w:t>
      </w:r>
    </w:p>
    <w:p w14:paraId="3D3FA6A4">
      <w:pPr>
        <w:keepNext w:val="0"/>
        <w:keepLines w:val="0"/>
        <w:pageBreakBefore w:val="0"/>
        <w:widowControl/>
        <w:kinsoku/>
        <w:wordWrap/>
        <w:overflowPunct/>
        <w:topLinePunct w:val="0"/>
        <w:autoSpaceDE/>
        <w:autoSpaceDN/>
        <w:bidi w:val="0"/>
        <w:spacing w:line="360" w:lineRule="auto"/>
        <w:ind w:firstLine="645"/>
        <w:jc w:val="left"/>
        <w:textAlignment w:val="auto"/>
        <w:rPr>
          <w:rFonts w:eastAsia="仿宋_GB2312"/>
          <w:sz w:val="30"/>
          <w:szCs w:val="30"/>
        </w:rPr>
      </w:pPr>
      <w:r>
        <w:rPr>
          <w:rFonts w:hint="eastAsia" w:eastAsia="仿宋_GB2312"/>
          <w:sz w:val="30"/>
          <w:szCs w:val="30"/>
        </w:rPr>
        <w:t>报告应包括以下附件：</w:t>
      </w:r>
    </w:p>
    <w:p w14:paraId="77D0F76C">
      <w:pPr>
        <w:keepNext w:val="0"/>
        <w:keepLines w:val="0"/>
        <w:pageBreakBefore w:val="0"/>
        <w:widowControl/>
        <w:kinsoku/>
        <w:wordWrap/>
        <w:overflowPunct/>
        <w:topLinePunct w:val="0"/>
        <w:autoSpaceDE/>
        <w:autoSpaceDN/>
        <w:bidi w:val="0"/>
        <w:spacing w:line="360" w:lineRule="auto"/>
        <w:ind w:firstLine="600" w:firstLineChars="200"/>
        <w:jc w:val="left"/>
        <w:textAlignment w:val="auto"/>
        <w:rPr>
          <w:rFonts w:eastAsia="仿宋_GB2312"/>
          <w:sz w:val="30"/>
          <w:szCs w:val="30"/>
        </w:rPr>
      </w:pPr>
      <w:r>
        <w:rPr>
          <w:rFonts w:eastAsia="仿宋_GB2312"/>
          <w:sz w:val="30"/>
          <w:szCs w:val="30"/>
        </w:rPr>
        <w:t>1</w:t>
      </w:r>
      <w:r>
        <w:rPr>
          <w:rFonts w:hint="eastAsia" w:eastAsia="仿宋_GB2312"/>
          <w:sz w:val="30"/>
          <w:szCs w:val="30"/>
        </w:rPr>
        <w:t>、部门整体支出绩效评价基础数据表</w:t>
      </w:r>
    </w:p>
    <w:p w14:paraId="378C7519">
      <w:pPr>
        <w:keepNext w:val="0"/>
        <w:keepLines w:val="0"/>
        <w:pageBreakBefore w:val="0"/>
        <w:widowControl/>
        <w:kinsoku/>
        <w:wordWrap/>
        <w:overflowPunct/>
        <w:topLinePunct w:val="0"/>
        <w:autoSpaceDE/>
        <w:autoSpaceDN/>
        <w:bidi w:val="0"/>
        <w:spacing w:line="360" w:lineRule="auto"/>
        <w:ind w:firstLine="600" w:firstLineChars="200"/>
        <w:jc w:val="left"/>
        <w:textAlignment w:val="auto"/>
        <w:rPr>
          <w:rFonts w:eastAsia="仿宋_GB2312"/>
          <w:sz w:val="30"/>
          <w:szCs w:val="30"/>
        </w:rPr>
      </w:pPr>
      <w:r>
        <w:rPr>
          <w:rFonts w:eastAsia="仿宋_GB2312"/>
          <w:sz w:val="30"/>
          <w:szCs w:val="30"/>
        </w:rPr>
        <w:t>2</w:t>
      </w:r>
      <w:r>
        <w:rPr>
          <w:rFonts w:hint="eastAsia" w:eastAsia="仿宋_GB2312"/>
          <w:sz w:val="30"/>
          <w:szCs w:val="30"/>
        </w:rPr>
        <w:t>、部门整体支出绩效自评表</w:t>
      </w:r>
    </w:p>
    <w:p w14:paraId="074934FB">
      <w:pPr>
        <w:rPr>
          <w:rFonts w:ascii="仿宋" w:hAnsi="仿宋" w:eastAsia="仿宋" w:cs="仿宋"/>
          <w:sz w:val="32"/>
          <w:szCs w:val="32"/>
        </w:rPr>
      </w:pPr>
    </w:p>
    <w:p w14:paraId="2DD4769D">
      <w:pPr>
        <w:rPr>
          <w:rFonts w:ascii="仿宋" w:hAnsi="仿宋" w:eastAsia="仿宋" w:cs="仿宋"/>
          <w:sz w:val="32"/>
          <w:szCs w:val="32"/>
        </w:rPr>
      </w:pPr>
    </w:p>
    <w:p w14:paraId="58A6FD77">
      <w:pPr>
        <w:rPr>
          <w:rFonts w:ascii="仿宋" w:hAnsi="仿宋" w:eastAsia="仿宋" w:cs="仿宋"/>
          <w:sz w:val="32"/>
          <w:szCs w:val="32"/>
        </w:rPr>
        <w:sectPr>
          <w:footerReference r:id="rId3" w:type="default"/>
          <w:pgSz w:w="11905" w:h="16837"/>
          <w:pgMar w:top="1417" w:right="1417" w:bottom="1417" w:left="1417" w:header="0" w:footer="0" w:gutter="0"/>
          <w:pgNumType w:start="1"/>
          <w:cols w:space="0" w:num="1"/>
          <w:rtlGutter w:val="0"/>
          <w:docGrid w:linePitch="636" w:charSpace="0"/>
        </w:sectPr>
      </w:pPr>
    </w:p>
    <w:p w14:paraId="04848216">
      <w:pPr>
        <w:spacing w:line="600" w:lineRule="exact"/>
        <w:rPr>
          <w:rFonts w:hint="eastAsia" w:ascii="黑体" w:hAnsi="宋体" w:eastAsia="黑体" w:cs="宋体"/>
          <w:kern w:val="0"/>
          <w:sz w:val="32"/>
          <w:szCs w:val="32"/>
          <w:lang w:eastAsia="zh-CN"/>
        </w:rPr>
      </w:pPr>
      <w:r>
        <w:rPr>
          <w:rFonts w:hint="eastAsia" w:ascii="黑体" w:hAnsi="宋体" w:eastAsia="黑体" w:cs="宋体"/>
          <w:kern w:val="0"/>
          <w:sz w:val="32"/>
          <w:szCs w:val="32"/>
        </w:rPr>
        <w:t>附件</w:t>
      </w:r>
      <w:r>
        <w:rPr>
          <w:rFonts w:hint="eastAsia" w:ascii="黑体" w:hAnsi="宋体" w:eastAsia="黑体" w:cs="宋体"/>
          <w:kern w:val="0"/>
          <w:sz w:val="32"/>
          <w:szCs w:val="32"/>
          <w:lang w:val="en-US" w:eastAsia="zh-CN"/>
        </w:rPr>
        <w:t>3</w:t>
      </w:r>
    </w:p>
    <w:p w14:paraId="10DDFE95">
      <w:pPr>
        <w:spacing w:line="600" w:lineRule="exact"/>
        <w:jc w:val="center"/>
        <w:rPr>
          <w:rFonts w:hint="eastAsia" w:ascii="黑体" w:hAnsi="宋体" w:eastAsia="黑体" w:cs="宋体"/>
          <w:kern w:val="0"/>
          <w:sz w:val="32"/>
          <w:szCs w:val="32"/>
        </w:rPr>
      </w:pPr>
      <w:r>
        <w:rPr>
          <w:rFonts w:hint="eastAsia" w:ascii="方正小标宋简体" w:hAnsi="方正小标宋简体" w:eastAsia="方正小标宋简体" w:cs="方正小标宋简体"/>
          <w:i w:val="0"/>
          <w:iCs w:val="0"/>
          <w:color w:val="000000"/>
          <w:kern w:val="0"/>
          <w:sz w:val="36"/>
          <w:szCs w:val="36"/>
          <w:u w:val="none"/>
          <w:lang w:val="en-US" w:eastAsia="zh-CN" w:bidi="ar"/>
        </w:rPr>
        <w:t>部门（单位）整体支出绩效自评表</w:t>
      </w:r>
    </w:p>
    <w:tbl>
      <w:tblPr>
        <w:tblStyle w:val="7"/>
        <w:tblW w:w="136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73"/>
        <w:gridCol w:w="870"/>
        <w:gridCol w:w="1050"/>
        <w:gridCol w:w="495"/>
        <w:gridCol w:w="2570"/>
        <w:gridCol w:w="5112"/>
        <w:gridCol w:w="2115"/>
        <w:gridCol w:w="586"/>
      </w:tblGrid>
      <w:tr w14:paraId="3F519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tblHeader/>
          <w:jc w:val="center"/>
        </w:trPr>
        <w:tc>
          <w:tcPr>
            <w:tcW w:w="873" w:type="dxa"/>
            <w:tcBorders>
              <w:tl2br w:val="nil"/>
              <w:tr2bl w:val="nil"/>
            </w:tcBorders>
            <w:noWrap w:val="0"/>
            <w:vAlign w:val="center"/>
          </w:tcPr>
          <w:p w14:paraId="343644F1">
            <w:pPr>
              <w:keepNext w:val="0"/>
              <w:keepLines w:val="0"/>
              <w:widowControl/>
              <w:suppressLineNumbers w:val="0"/>
              <w:jc w:val="center"/>
              <w:textAlignment w:val="center"/>
              <w:rPr>
                <w:rFonts w:hint="eastAsia" w:ascii="黑体" w:hAnsi="宋体" w:eastAsia="黑体" w:cs="黑体"/>
                <w:i w:val="0"/>
                <w:iCs w:val="0"/>
                <w:color w:val="000000"/>
                <w:kern w:val="0"/>
                <w:sz w:val="20"/>
                <w:szCs w:val="20"/>
                <w:u w:val="none"/>
                <w:lang w:val="en-US" w:eastAsia="zh-CN" w:bidi="ar"/>
              </w:rPr>
            </w:pPr>
            <w:r>
              <w:rPr>
                <w:rFonts w:hint="eastAsia" w:ascii="黑体" w:hAnsi="宋体" w:eastAsia="黑体" w:cs="黑体"/>
                <w:i w:val="0"/>
                <w:iCs w:val="0"/>
                <w:color w:val="000000"/>
                <w:kern w:val="0"/>
                <w:sz w:val="20"/>
                <w:szCs w:val="20"/>
                <w:u w:val="none"/>
                <w:lang w:val="en-US" w:eastAsia="zh-CN" w:bidi="ar"/>
              </w:rPr>
              <w:t>一级</w:t>
            </w:r>
          </w:p>
          <w:p w14:paraId="652A15EA">
            <w:pPr>
              <w:keepNext w:val="0"/>
              <w:keepLines w:val="0"/>
              <w:widowControl/>
              <w:suppressLineNumbers w:val="0"/>
              <w:jc w:val="center"/>
              <w:textAlignment w:val="center"/>
              <w:rPr>
                <w:rFonts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指标</w:t>
            </w:r>
          </w:p>
        </w:tc>
        <w:tc>
          <w:tcPr>
            <w:tcW w:w="870" w:type="dxa"/>
            <w:tcBorders>
              <w:tl2br w:val="nil"/>
              <w:tr2bl w:val="nil"/>
            </w:tcBorders>
            <w:noWrap w:val="0"/>
            <w:vAlign w:val="center"/>
          </w:tcPr>
          <w:p w14:paraId="1959BEE3">
            <w:pPr>
              <w:keepNext w:val="0"/>
              <w:keepLines w:val="0"/>
              <w:widowControl/>
              <w:suppressLineNumbers w:val="0"/>
              <w:jc w:val="center"/>
              <w:textAlignment w:val="center"/>
              <w:rPr>
                <w:rFonts w:hint="eastAsia" w:ascii="黑体" w:hAnsi="宋体" w:eastAsia="黑体" w:cs="黑体"/>
                <w:i w:val="0"/>
                <w:iCs w:val="0"/>
                <w:color w:val="000000"/>
                <w:kern w:val="0"/>
                <w:sz w:val="20"/>
                <w:szCs w:val="20"/>
                <w:u w:val="none"/>
                <w:lang w:val="en-US" w:eastAsia="zh-CN" w:bidi="ar"/>
              </w:rPr>
            </w:pPr>
            <w:r>
              <w:rPr>
                <w:rFonts w:hint="eastAsia" w:ascii="黑体" w:hAnsi="宋体" w:eastAsia="黑体" w:cs="黑体"/>
                <w:i w:val="0"/>
                <w:iCs w:val="0"/>
                <w:color w:val="000000"/>
                <w:kern w:val="0"/>
                <w:sz w:val="20"/>
                <w:szCs w:val="20"/>
                <w:u w:val="none"/>
                <w:lang w:val="en-US" w:eastAsia="zh-CN" w:bidi="ar"/>
              </w:rPr>
              <w:t>二级</w:t>
            </w:r>
          </w:p>
          <w:p w14:paraId="3D1B6C0C">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指标</w:t>
            </w:r>
          </w:p>
        </w:tc>
        <w:tc>
          <w:tcPr>
            <w:tcW w:w="1050" w:type="dxa"/>
            <w:tcBorders>
              <w:tl2br w:val="nil"/>
              <w:tr2bl w:val="nil"/>
            </w:tcBorders>
            <w:noWrap w:val="0"/>
            <w:vAlign w:val="center"/>
          </w:tcPr>
          <w:p w14:paraId="2A203751">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三级指标</w:t>
            </w:r>
          </w:p>
        </w:tc>
        <w:tc>
          <w:tcPr>
            <w:tcW w:w="495" w:type="dxa"/>
            <w:tcBorders>
              <w:tl2br w:val="nil"/>
              <w:tr2bl w:val="nil"/>
            </w:tcBorders>
            <w:noWrap w:val="0"/>
            <w:vAlign w:val="center"/>
          </w:tcPr>
          <w:p w14:paraId="71333C9D">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分值</w:t>
            </w:r>
          </w:p>
        </w:tc>
        <w:tc>
          <w:tcPr>
            <w:tcW w:w="2570" w:type="dxa"/>
            <w:tcBorders>
              <w:tl2br w:val="nil"/>
              <w:tr2bl w:val="nil"/>
            </w:tcBorders>
            <w:noWrap w:val="0"/>
            <w:vAlign w:val="center"/>
          </w:tcPr>
          <w:p w14:paraId="00B2D122">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指标说明</w:t>
            </w:r>
          </w:p>
        </w:tc>
        <w:tc>
          <w:tcPr>
            <w:tcW w:w="5112" w:type="dxa"/>
            <w:tcBorders>
              <w:tl2br w:val="nil"/>
              <w:tr2bl w:val="nil"/>
            </w:tcBorders>
            <w:noWrap w:val="0"/>
            <w:vAlign w:val="center"/>
          </w:tcPr>
          <w:p w14:paraId="53F71FFD">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评分标准</w:t>
            </w:r>
          </w:p>
        </w:tc>
        <w:tc>
          <w:tcPr>
            <w:tcW w:w="2115" w:type="dxa"/>
            <w:tcBorders>
              <w:tl2br w:val="nil"/>
              <w:tr2bl w:val="nil"/>
            </w:tcBorders>
            <w:noWrap w:val="0"/>
            <w:vAlign w:val="center"/>
          </w:tcPr>
          <w:p w14:paraId="2C36CE84">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评价依据</w:t>
            </w:r>
          </w:p>
        </w:tc>
        <w:tc>
          <w:tcPr>
            <w:tcW w:w="586" w:type="dxa"/>
            <w:tcBorders>
              <w:tl2br w:val="nil"/>
              <w:tr2bl w:val="nil"/>
            </w:tcBorders>
            <w:noWrap w:val="0"/>
            <w:vAlign w:val="center"/>
          </w:tcPr>
          <w:p w14:paraId="4C2ECFE2">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自评分</w:t>
            </w:r>
          </w:p>
        </w:tc>
      </w:tr>
      <w:tr w14:paraId="3D0E51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0" w:hRule="atLeast"/>
          <w:jc w:val="center"/>
        </w:trPr>
        <w:tc>
          <w:tcPr>
            <w:tcW w:w="873" w:type="dxa"/>
            <w:vMerge w:val="restart"/>
            <w:tcBorders>
              <w:tl2br w:val="nil"/>
              <w:tr2bl w:val="nil"/>
            </w:tcBorders>
            <w:noWrap w:val="0"/>
            <w:vAlign w:val="center"/>
          </w:tcPr>
          <w:p w14:paraId="64072DA0">
            <w:pPr>
              <w:keepNext w:val="0"/>
              <w:keepLines w:val="0"/>
              <w:widowControl/>
              <w:suppressLineNumbers w:val="0"/>
              <w:jc w:val="center"/>
              <w:textAlignment w:val="center"/>
              <w:rPr>
                <w:rStyle w:val="13"/>
                <w:lang w:val="en-US" w:eastAsia="zh-CN" w:bidi="ar"/>
              </w:rPr>
            </w:pPr>
            <w:r>
              <w:rPr>
                <w:rStyle w:val="13"/>
                <w:lang w:val="en-US" w:eastAsia="zh-CN" w:bidi="ar"/>
              </w:rPr>
              <w:t>投入</w:t>
            </w:r>
          </w:p>
          <w:p w14:paraId="443966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13"/>
                <w:lang w:val="en-US" w:eastAsia="zh-CN" w:bidi="ar"/>
              </w:rPr>
              <w:t>（</w:t>
            </w:r>
            <w:r>
              <w:rPr>
                <w:rStyle w:val="14"/>
                <w:rFonts w:eastAsia="宋体"/>
                <w:lang w:val="en-US" w:eastAsia="zh-CN" w:bidi="ar"/>
              </w:rPr>
              <w:t>14</w:t>
            </w:r>
            <w:r>
              <w:rPr>
                <w:rStyle w:val="13"/>
                <w:lang w:val="en-US" w:eastAsia="zh-CN" w:bidi="ar"/>
              </w:rPr>
              <w:t>分）</w:t>
            </w:r>
          </w:p>
        </w:tc>
        <w:tc>
          <w:tcPr>
            <w:tcW w:w="870" w:type="dxa"/>
            <w:vMerge w:val="restart"/>
            <w:tcBorders>
              <w:tl2br w:val="nil"/>
              <w:tr2bl w:val="nil"/>
            </w:tcBorders>
            <w:noWrap w:val="0"/>
            <w:vAlign w:val="center"/>
          </w:tcPr>
          <w:p w14:paraId="5E353DFA">
            <w:pPr>
              <w:keepNext w:val="0"/>
              <w:keepLines w:val="0"/>
              <w:widowControl/>
              <w:suppressLineNumbers w:val="0"/>
              <w:jc w:val="center"/>
              <w:textAlignment w:val="center"/>
              <w:rPr>
                <w:rStyle w:val="13"/>
                <w:lang w:val="en-US" w:eastAsia="zh-CN" w:bidi="ar"/>
              </w:rPr>
            </w:pPr>
            <w:r>
              <w:rPr>
                <w:rStyle w:val="13"/>
                <w:lang w:val="en-US" w:eastAsia="zh-CN" w:bidi="ar"/>
              </w:rPr>
              <w:t>目标</w:t>
            </w:r>
          </w:p>
          <w:p w14:paraId="131EFAA1">
            <w:pPr>
              <w:keepNext w:val="0"/>
              <w:keepLines w:val="0"/>
              <w:widowControl/>
              <w:suppressLineNumbers w:val="0"/>
              <w:jc w:val="center"/>
              <w:textAlignment w:val="center"/>
              <w:rPr>
                <w:rStyle w:val="13"/>
                <w:lang w:val="en-US" w:eastAsia="zh-CN" w:bidi="ar"/>
              </w:rPr>
            </w:pPr>
            <w:r>
              <w:rPr>
                <w:rStyle w:val="13"/>
                <w:lang w:val="en-US" w:eastAsia="zh-CN" w:bidi="ar"/>
              </w:rPr>
              <w:t>设定</w:t>
            </w:r>
          </w:p>
          <w:p w14:paraId="6F4FA1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w:t>
            </w:r>
            <w:r>
              <w:rPr>
                <w:rStyle w:val="14"/>
                <w:rFonts w:eastAsia="宋体"/>
                <w:lang w:val="en-US" w:eastAsia="zh-CN" w:bidi="ar"/>
              </w:rPr>
              <w:t>7</w:t>
            </w:r>
            <w:r>
              <w:rPr>
                <w:rStyle w:val="13"/>
                <w:lang w:val="en-US" w:eastAsia="zh-CN" w:bidi="ar"/>
              </w:rPr>
              <w:t>分）</w:t>
            </w:r>
          </w:p>
        </w:tc>
        <w:tc>
          <w:tcPr>
            <w:tcW w:w="1050" w:type="dxa"/>
            <w:tcBorders>
              <w:tl2br w:val="nil"/>
              <w:tr2bl w:val="nil"/>
            </w:tcBorders>
            <w:noWrap w:val="0"/>
            <w:vAlign w:val="center"/>
          </w:tcPr>
          <w:p w14:paraId="12A956A2">
            <w:pPr>
              <w:keepNext w:val="0"/>
              <w:keepLines w:val="0"/>
              <w:widowControl/>
              <w:suppressLineNumbers w:val="0"/>
              <w:jc w:val="center"/>
              <w:textAlignment w:val="center"/>
              <w:rPr>
                <w:rStyle w:val="13"/>
                <w:lang w:val="en-US" w:eastAsia="zh-CN" w:bidi="ar"/>
              </w:rPr>
            </w:pPr>
            <w:r>
              <w:rPr>
                <w:rStyle w:val="13"/>
                <w:lang w:val="en-US" w:eastAsia="zh-CN" w:bidi="ar"/>
              </w:rPr>
              <w:t>绩效目标</w:t>
            </w:r>
          </w:p>
          <w:p w14:paraId="1FCCE28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合理性</w:t>
            </w:r>
          </w:p>
        </w:tc>
        <w:tc>
          <w:tcPr>
            <w:tcW w:w="495" w:type="dxa"/>
            <w:tcBorders>
              <w:tl2br w:val="nil"/>
              <w:tr2bl w:val="nil"/>
            </w:tcBorders>
            <w:noWrap w:val="0"/>
            <w:vAlign w:val="center"/>
          </w:tcPr>
          <w:p w14:paraId="162D22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2570" w:type="dxa"/>
            <w:tcBorders>
              <w:tl2br w:val="nil"/>
              <w:tr2bl w:val="nil"/>
            </w:tcBorders>
            <w:noWrap w:val="0"/>
            <w:vAlign w:val="center"/>
          </w:tcPr>
          <w:p w14:paraId="7C3FE0E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部门（单位）所设立的整体绩效目标依据是否充分，是否符合客观实际，用以反映和考核部门（单位）整体绩效目标与部门履职、年度工作任务的相符性情况。</w:t>
            </w:r>
          </w:p>
        </w:tc>
        <w:tc>
          <w:tcPr>
            <w:tcW w:w="5112" w:type="dxa"/>
            <w:tcBorders>
              <w:tl2br w:val="nil"/>
              <w:tr2bl w:val="nil"/>
            </w:tcBorders>
            <w:noWrap w:val="0"/>
            <w:vAlign w:val="center"/>
          </w:tcPr>
          <w:p w14:paraId="17A9A28C">
            <w:pPr>
              <w:keepNext w:val="0"/>
              <w:keepLines w:val="0"/>
              <w:widowControl/>
              <w:suppressLineNumbers w:val="0"/>
              <w:jc w:val="left"/>
              <w:textAlignment w:val="center"/>
              <w:rPr>
                <w:rStyle w:val="13"/>
                <w:lang w:val="en-US" w:eastAsia="zh-CN" w:bidi="ar"/>
              </w:rPr>
            </w:pPr>
            <w:r>
              <w:rPr>
                <w:rStyle w:val="13"/>
                <w:lang w:val="en-US" w:eastAsia="zh-CN" w:bidi="ar"/>
              </w:rPr>
              <w:t>①是否符合国家法律法规、国民经济和社会发展总体规划；</w:t>
            </w:r>
          </w:p>
          <w:p w14:paraId="29457A9E">
            <w:pPr>
              <w:keepNext w:val="0"/>
              <w:keepLines w:val="0"/>
              <w:widowControl/>
              <w:suppressLineNumbers w:val="0"/>
              <w:jc w:val="left"/>
              <w:textAlignment w:val="center"/>
              <w:rPr>
                <w:rStyle w:val="13"/>
                <w:lang w:val="en-US" w:eastAsia="zh-CN" w:bidi="ar"/>
              </w:rPr>
            </w:pPr>
            <w:r>
              <w:rPr>
                <w:rStyle w:val="13"/>
                <w:lang w:val="en-US" w:eastAsia="zh-CN" w:bidi="ar"/>
              </w:rPr>
              <w:t>②是否符合部门</w:t>
            </w:r>
            <w:r>
              <w:rPr>
                <w:rStyle w:val="14"/>
                <w:rFonts w:eastAsia="宋体"/>
                <w:lang w:val="en-US" w:eastAsia="zh-CN" w:bidi="ar"/>
              </w:rPr>
              <w:t>“</w:t>
            </w:r>
            <w:r>
              <w:rPr>
                <w:rStyle w:val="13"/>
                <w:lang w:val="en-US" w:eastAsia="zh-CN" w:bidi="ar"/>
              </w:rPr>
              <w:t>三定</w:t>
            </w:r>
            <w:r>
              <w:rPr>
                <w:rStyle w:val="14"/>
                <w:rFonts w:eastAsia="宋体"/>
                <w:lang w:val="en-US" w:eastAsia="zh-CN" w:bidi="ar"/>
              </w:rPr>
              <w:t>”</w:t>
            </w:r>
            <w:r>
              <w:rPr>
                <w:rStyle w:val="13"/>
                <w:lang w:val="en-US" w:eastAsia="zh-CN" w:bidi="ar"/>
              </w:rPr>
              <w:t>方案确定的职责；</w:t>
            </w:r>
          </w:p>
          <w:p w14:paraId="4FD4D508">
            <w:pPr>
              <w:keepNext w:val="0"/>
              <w:keepLines w:val="0"/>
              <w:widowControl/>
              <w:suppressLineNumbers w:val="0"/>
              <w:jc w:val="left"/>
              <w:textAlignment w:val="center"/>
              <w:rPr>
                <w:rStyle w:val="13"/>
                <w:lang w:val="en-US" w:eastAsia="zh-CN" w:bidi="ar"/>
              </w:rPr>
            </w:pPr>
            <w:r>
              <w:rPr>
                <w:rStyle w:val="13"/>
                <w:lang w:val="en-US" w:eastAsia="zh-CN" w:bidi="ar"/>
              </w:rPr>
              <w:t>③是否符合部门制定的中长期实施规划。</w:t>
            </w:r>
          </w:p>
          <w:p w14:paraId="0D3742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Style w:val="13"/>
                <w:lang w:val="en-US" w:eastAsia="zh-CN" w:bidi="ar"/>
              </w:rPr>
              <w:t>以上各项每发现一起不符合要求扣</w:t>
            </w:r>
            <w:r>
              <w:rPr>
                <w:rStyle w:val="14"/>
                <w:rFonts w:eastAsia="宋体"/>
                <w:lang w:val="en-US" w:eastAsia="zh-CN" w:bidi="ar"/>
              </w:rPr>
              <w:t>1</w:t>
            </w:r>
            <w:r>
              <w:rPr>
                <w:rStyle w:val="13"/>
                <w:lang w:val="en-US" w:eastAsia="zh-CN" w:bidi="ar"/>
              </w:rPr>
              <w:t>分，扣完为止。</w:t>
            </w:r>
          </w:p>
        </w:tc>
        <w:tc>
          <w:tcPr>
            <w:tcW w:w="2115" w:type="dxa"/>
            <w:tcBorders>
              <w:tl2br w:val="nil"/>
              <w:tr2bl w:val="nil"/>
            </w:tcBorders>
            <w:noWrap w:val="0"/>
            <w:vAlign w:val="center"/>
          </w:tcPr>
          <w:p w14:paraId="0852C1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绩效目标申报表；本县国民经济和社会发展规划；</w:t>
            </w:r>
            <w:r>
              <w:rPr>
                <w:rStyle w:val="14"/>
                <w:rFonts w:eastAsia="宋体"/>
                <w:lang w:val="en-US" w:eastAsia="zh-CN" w:bidi="ar"/>
              </w:rPr>
              <w:t>“</w:t>
            </w:r>
            <w:r>
              <w:rPr>
                <w:rStyle w:val="13"/>
                <w:lang w:val="en-US" w:eastAsia="zh-CN" w:bidi="ar"/>
              </w:rPr>
              <w:t>三定</w:t>
            </w:r>
            <w:r>
              <w:rPr>
                <w:rStyle w:val="14"/>
                <w:rFonts w:eastAsia="宋体"/>
                <w:lang w:val="en-US" w:eastAsia="zh-CN" w:bidi="ar"/>
              </w:rPr>
              <w:t>”</w:t>
            </w:r>
            <w:r>
              <w:rPr>
                <w:rStyle w:val="13"/>
                <w:lang w:val="en-US" w:eastAsia="zh-CN" w:bidi="ar"/>
              </w:rPr>
              <w:t>方案；部门职责；部门制定的中长期实施规划等。</w:t>
            </w:r>
          </w:p>
        </w:tc>
        <w:tc>
          <w:tcPr>
            <w:tcW w:w="586" w:type="dxa"/>
            <w:tcBorders>
              <w:tl2br w:val="nil"/>
              <w:tr2bl w:val="nil"/>
            </w:tcBorders>
            <w:noWrap w:val="0"/>
            <w:vAlign w:val="center"/>
          </w:tcPr>
          <w:p w14:paraId="7C52437F">
            <w:pPr>
              <w:jc w:val="left"/>
              <w:rPr>
                <w:rFonts w:hint="eastAsia" w:ascii="Times New Roman" w:hAnsi="Times New Roman" w:eastAsia="宋体" w:cs="Times New Roman"/>
                <w:i w:val="0"/>
                <w:iCs w:val="0"/>
                <w:color w:val="000000"/>
                <w:sz w:val="18"/>
                <w:szCs w:val="18"/>
                <w:u w:val="none"/>
                <w:lang w:val="en-US" w:eastAsia="zh-CN"/>
              </w:rPr>
            </w:pPr>
            <w:r>
              <w:rPr>
                <w:rFonts w:hint="eastAsia" w:ascii="Times New Roman" w:hAnsi="Times New Roman" w:cs="Times New Roman"/>
                <w:i w:val="0"/>
                <w:iCs w:val="0"/>
                <w:color w:val="000000"/>
                <w:sz w:val="18"/>
                <w:szCs w:val="18"/>
                <w:u w:val="none"/>
                <w:lang w:val="en-US" w:eastAsia="zh-CN"/>
              </w:rPr>
              <w:t>3</w:t>
            </w:r>
          </w:p>
        </w:tc>
      </w:tr>
      <w:tr w14:paraId="28E765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20" w:hRule="atLeast"/>
          <w:jc w:val="center"/>
        </w:trPr>
        <w:tc>
          <w:tcPr>
            <w:tcW w:w="873" w:type="dxa"/>
            <w:vMerge w:val="continue"/>
            <w:tcBorders>
              <w:tl2br w:val="nil"/>
              <w:tr2bl w:val="nil"/>
            </w:tcBorders>
            <w:noWrap w:val="0"/>
            <w:vAlign w:val="center"/>
          </w:tcPr>
          <w:p w14:paraId="0906F237">
            <w:pPr>
              <w:jc w:val="center"/>
              <w:rPr>
                <w:rFonts w:hint="eastAsia" w:ascii="宋体" w:hAnsi="宋体" w:eastAsia="宋体" w:cs="宋体"/>
                <w:i w:val="0"/>
                <w:iCs w:val="0"/>
                <w:color w:val="000000"/>
                <w:sz w:val="18"/>
                <w:szCs w:val="18"/>
                <w:u w:val="none"/>
              </w:rPr>
            </w:pPr>
          </w:p>
        </w:tc>
        <w:tc>
          <w:tcPr>
            <w:tcW w:w="870" w:type="dxa"/>
            <w:vMerge w:val="continue"/>
            <w:tcBorders>
              <w:tl2br w:val="nil"/>
              <w:tr2bl w:val="nil"/>
            </w:tcBorders>
            <w:noWrap w:val="0"/>
            <w:vAlign w:val="center"/>
          </w:tcPr>
          <w:p w14:paraId="31E94031">
            <w:pPr>
              <w:jc w:val="center"/>
              <w:rPr>
                <w:rFonts w:hint="default" w:ascii="Times New Roman" w:hAnsi="Times New Roman" w:eastAsia="宋体" w:cs="Times New Roman"/>
                <w:i w:val="0"/>
                <w:iCs w:val="0"/>
                <w:color w:val="000000"/>
                <w:sz w:val="18"/>
                <w:szCs w:val="18"/>
                <w:u w:val="none"/>
              </w:rPr>
            </w:pPr>
          </w:p>
        </w:tc>
        <w:tc>
          <w:tcPr>
            <w:tcW w:w="1050" w:type="dxa"/>
            <w:tcBorders>
              <w:tl2br w:val="nil"/>
              <w:tr2bl w:val="nil"/>
            </w:tcBorders>
            <w:noWrap w:val="0"/>
            <w:vAlign w:val="center"/>
          </w:tcPr>
          <w:p w14:paraId="1B576E6E">
            <w:pPr>
              <w:keepNext w:val="0"/>
              <w:keepLines w:val="0"/>
              <w:widowControl/>
              <w:suppressLineNumbers w:val="0"/>
              <w:jc w:val="center"/>
              <w:textAlignment w:val="center"/>
              <w:rPr>
                <w:rStyle w:val="13"/>
                <w:lang w:val="en-US" w:eastAsia="zh-CN" w:bidi="ar"/>
              </w:rPr>
            </w:pPr>
            <w:r>
              <w:rPr>
                <w:rStyle w:val="13"/>
                <w:lang w:val="en-US" w:eastAsia="zh-CN" w:bidi="ar"/>
              </w:rPr>
              <w:t>绩效指标</w:t>
            </w:r>
          </w:p>
          <w:p w14:paraId="7E8A16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明确性</w:t>
            </w:r>
          </w:p>
        </w:tc>
        <w:tc>
          <w:tcPr>
            <w:tcW w:w="495" w:type="dxa"/>
            <w:tcBorders>
              <w:tl2br w:val="nil"/>
              <w:tr2bl w:val="nil"/>
            </w:tcBorders>
            <w:noWrap w:val="0"/>
            <w:vAlign w:val="center"/>
          </w:tcPr>
          <w:p w14:paraId="4115D9A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2570" w:type="dxa"/>
            <w:tcBorders>
              <w:tl2br w:val="nil"/>
              <w:tr2bl w:val="nil"/>
            </w:tcBorders>
            <w:noWrap w:val="0"/>
            <w:vAlign w:val="center"/>
          </w:tcPr>
          <w:p w14:paraId="36078BF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部门（单位）依据整体绩效目标所设定的绩效指标是否清晰、细化、可衡量，用以反映和考核部门整体绩效目标的明细化情况。</w:t>
            </w:r>
          </w:p>
        </w:tc>
        <w:tc>
          <w:tcPr>
            <w:tcW w:w="5112" w:type="dxa"/>
            <w:tcBorders>
              <w:tl2br w:val="nil"/>
              <w:tr2bl w:val="nil"/>
            </w:tcBorders>
            <w:noWrap w:val="0"/>
            <w:vAlign w:val="center"/>
          </w:tcPr>
          <w:p w14:paraId="3DD7578D">
            <w:pPr>
              <w:keepNext w:val="0"/>
              <w:keepLines w:val="0"/>
              <w:widowControl/>
              <w:suppressLineNumbers w:val="0"/>
              <w:jc w:val="left"/>
              <w:textAlignment w:val="center"/>
              <w:rPr>
                <w:rStyle w:val="13"/>
                <w:lang w:val="en-US" w:eastAsia="zh-CN" w:bidi="ar"/>
              </w:rPr>
            </w:pPr>
          </w:p>
          <w:p w14:paraId="60870D67">
            <w:pPr>
              <w:keepNext w:val="0"/>
              <w:keepLines w:val="0"/>
              <w:widowControl/>
              <w:suppressLineNumbers w:val="0"/>
              <w:jc w:val="left"/>
              <w:textAlignment w:val="center"/>
              <w:rPr>
                <w:rStyle w:val="13"/>
                <w:lang w:val="en-US" w:eastAsia="zh-CN" w:bidi="ar"/>
              </w:rPr>
            </w:pPr>
            <w:r>
              <w:rPr>
                <w:rStyle w:val="13"/>
                <w:lang w:val="en-US" w:eastAsia="zh-CN" w:bidi="ar"/>
              </w:rPr>
              <w:t>①有目标，计</w:t>
            </w:r>
            <w:r>
              <w:rPr>
                <w:rStyle w:val="14"/>
                <w:rFonts w:eastAsia="宋体"/>
                <w:lang w:val="en-US" w:eastAsia="zh-CN" w:bidi="ar"/>
              </w:rPr>
              <w:t>1</w:t>
            </w:r>
            <w:r>
              <w:rPr>
                <w:rStyle w:val="13"/>
                <w:lang w:val="en-US" w:eastAsia="zh-CN" w:bidi="ar"/>
              </w:rPr>
              <w:t>分，否则不得分；</w:t>
            </w:r>
          </w:p>
          <w:p w14:paraId="6B5BC935">
            <w:pPr>
              <w:keepNext w:val="0"/>
              <w:keepLines w:val="0"/>
              <w:widowControl/>
              <w:suppressLineNumbers w:val="0"/>
              <w:jc w:val="left"/>
              <w:textAlignment w:val="center"/>
              <w:rPr>
                <w:rStyle w:val="13"/>
                <w:lang w:val="en-US" w:eastAsia="zh-CN" w:bidi="ar"/>
              </w:rPr>
            </w:pPr>
            <w:r>
              <w:rPr>
                <w:rStyle w:val="13"/>
                <w:lang w:val="en-US" w:eastAsia="zh-CN" w:bidi="ar"/>
              </w:rPr>
              <w:t>②目标明确，细化量化良好，个性指标中量化指标超过</w:t>
            </w:r>
            <w:r>
              <w:rPr>
                <w:rStyle w:val="14"/>
                <w:rFonts w:eastAsia="宋体"/>
                <w:lang w:val="en-US" w:eastAsia="zh-CN" w:bidi="ar"/>
              </w:rPr>
              <w:t>3</w:t>
            </w:r>
            <w:r>
              <w:rPr>
                <w:rStyle w:val="13"/>
                <w:lang w:val="en-US" w:eastAsia="zh-CN" w:bidi="ar"/>
              </w:rPr>
              <w:t>个，计</w:t>
            </w:r>
            <w:r>
              <w:rPr>
                <w:rStyle w:val="14"/>
                <w:rFonts w:eastAsia="宋体"/>
                <w:lang w:val="en-US" w:eastAsia="zh-CN" w:bidi="ar"/>
              </w:rPr>
              <w:t>1</w:t>
            </w:r>
            <w:r>
              <w:rPr>
                <w:rStyle w:val="13"/>
                <w:lang w:val="en-US" w:eastAsia="zh-CN" w:bidi="ar"/>
              </w:rPr>
              <w:t>分，量化指标为</w:t>
            </w:r>
            <w:r>
              <w:rPr>
                <w:rStyle w:val="14"/>
                <w:rFonts w:eastAsia="宋体"/>
                <w:lang w:val="en-US" w:eastAsia="zh-CN" w:bidi="ar"/>
              </w:rPr>
              <w:t>2</w:t>
            </w:r>
            <w:r>
              <w:rPr>
                <w:rStyle w:val="13"/>
                <w:lang w:val="en-US" w:eastAsia="zh-CN" w:bidi="ar"/>
              </w:rPr>
              <w:t>个，计</w:t>
            </w:r>
            <w:r>
              <w:rPr>
                <w:rStyle w:val="14"/>
                <w:rFonts w:eastAsia="宋体"/>
                <w:lang w:val="en-US" w:eastAsia="zh-CN" w:bidi="ar"/>
              </w:rPr>
              <w:t>0.5</w:t>
            </w:r>
            <w:r>
              <w:rPr>
                <w:rStyle w:val="13"/>
                <w:lang w:val="en-US" w:eastAsia="zh-CN" w:bidi="ar"/>
              </w:rPr>
              <w:t>分，</w:t>
            </w:r>
            <w:r>
              <w:rPr>
                <w:rStyle w:val="14"/>
                <w:rFonts w:eastAsia="宋体"/>
                <w:lang w:val="en-US" w:eastAsia="zh-CN" w:bidi="ar"/>
              </w:rPr>
              <w:t>2</w:t>
            </w:r>
            <w:r>
              <w:rPr>
                <w:rStyle w:val="13"/>
                <w:lang w:val="en-US" w:eastAsia="zh-CN" w:bidi="ar"/>
              </w:rPr>
              <w:t>个以下不得分；</w:t>
            </w:r>
          </w:p>
          <w:p w14:paraId="1DC3B5A2">
            <w:pPr>
              <w:keepNext w:val="0"/>
              <w:keepLines w:val="0"/>
              <w:widowControl/>
              <w:suppressLineNumbers w:val="0"/>
              <w:jc w:val="left"/>
              <w:textAlignment w:val="center"/>
              <w:rPr>
                <w:rStyle w:val="13"/>
                <w:lang w:val="en-US" w:eastAsia="zh-CN" w:bidi="ar"/>
              </w:rPr>
            </w:pPr>
            <w:r>
              <w:rPr>
                <w:rStyle w:val="13"/>
                <w:lang w:val="en-US" w:eastAsia="zh-CN" w:bidi="ar"/>
              </w:rPr>
              <w:t>③与年度任务数或计划数相对应，计</w:t>
            </w:r>
            <w:r>
              <w:rPr>
                <w:rStyle w:val="14"/>
                <w:rFonts w:eastAsia="宋体"/>
                <w:lang w:val="en-US" w:eastAsia="zh-CN" w:bidi="ar"/>
              </w:rPr>
              <w:t>1</w:t>
            </w:r>
            <w:r>
              <w:rPr>
                <w:rStyle w:val="13"/>
                <w:lang w:val="en-US" w:eastAsia="zh-CN" w:bidi="ar"/>
              </w:rPr>
              <w:t>分，大于</w:t>
            </w:r>
            <w:r>
              <w:rPr>
                <w:rStyle w:val="14"/>
                <w:rFonts w:eastAsia="宋体"/>
                <w:lang w:val="en-US" w:eastAsia="zh-CN" w:bidi="ar"/>
              </w:rPr>
              <w:t>50%</w:t>
            </w:r>
            <w:r>
              <w:rPr>
                <w:rStyle w:val="13"/>
                <w:lang w:val="en-US" w:eastAsia="zh-CN" w:bidi="ar"/>
              </w:rPr>
              <w:t>计</w:t>
            </w:r>
            <w:r>
              <w:rPr>
                <w:rStyle w:val="14"/>
                <w:rFonts w:eastAsia="宋体"/>
                <w:lang w:val="en-US" w:eastAsia="zh-CN" w:bidi="ar"/>
              </w:rPr>
              <w:t>0.5</w:t>
            </w:r>
            <w:r>
              <w:rPr>
                <w:rStyle w:val="13"/>
                <w:lang w:val="en-US" w:eastAsia="zh-CN" w:bidi="ar"/>
              </w:rPr>
              <w:t>分，对应低于</w:t>
            </w:r>
            <w:r>
              <w:rPr>
                <w:rStyle w:val="14"/>
                <w:rFonts w:eastAsia="宋体"/>
                <w:lang w:val="en-US" w:eastAsia="zh-CN" w:bidi="ar"/>
              </w:rPr>
              <w:t>50%</w:t>
            </w:r>
            <w:r>
              <w:rPr>
                <w:rStyle w:val="13"/>
                <w:lang w:val="en-US" w:eastAsia="zh-CN" w:bidi="ar"/>
              </w:rPr>
              <w:t>不计分；</w:t>
            </w:r>
          </w:p>
          <w:p w14:paraId="57E6866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④目标与资金匹配良好，逻辑关系明确，计</w:t>
            </w:r>
            <w:r>
              <w:rPr>
                <w:rStyle w:val="14"/>
                <w:rFonts w:eastAsia="宋体"/>
                <w:lang w:val="en-US" w:eastAsia="zh-CN" w:bidi="ar"/>
              </w:rPr>
              <w:t>1</w:t>
            </w:r>
            <w:r>
              <w:rPr>
                <w:rStyle w:val="13"/>
                <w:lang w:val="en-US" w:eastAsia="zh-CN" w:bidi="ar"/>
              </w:rPr>
              <w:t>分，否则不得分。</w:t>
            </w:r>
          </w:p>
        </w:tc>
        <w:tc>
          <w:tcPr>
            <w:tcW w:w="2115" w:type="dxa"/>
            <w:tcBorders>
              <w:tl2br w:val="nil"/>
              <w:tr2bl w:val="nil"/>
            </w:tcBorders>
            <w:noWrap w:val="0"/>
            <w:vAlign w:val="center"/>
          </w:tcPr>
          <w:p w14:paraId="2497CC1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绩效目标申报表；年度任务数或计划数；预算批复等。</w:t>
            </w:r>
          </w:p>
        </w:tc>
        <w:tc>
          <w:tcPr>
            <w:tcW w:w="586" w:type="dxa"/>
            <w:tcBorders>
              <w:tl2br w:val="nil"/>
              <w:tr2bl w:val="nil"/>
            </w:tcBorders>
            <w:noWrap w:val="0"/>
            <w:vAlign w:val="center"/>
          </w:tcPr>
          <w:p w14:paraId="20703730">
            <w:pPr>
              <w:jc w:val="left"/>
              <w:rPr>
                <w:rFonts w:hint="eastAsia" w:ascii="Times New Roman" w:hAnsi="Times New Roman" w:eastAsia="宋体" w:cs="Times New Roman"/>
                <w:i w:val="0"/>
                <w:iCs w:val="0"/>
                <w:color w:val="000000"/>
                <w:sz w:val="18"/>
                <w:szCs w:val="18"/>
                <w:u w:val="none"/>
                <w:lang w:val="en-US" w:eastAsia="zh-CN"/>
              </w:rPr>
            </w:pPr>
            <w:r>
              <w:rPr>
                <w:rFonts w:hint="eastAsia" w:ascii="Times New Roman" w:hAnsi="Times New Roman" w:cs="Times New Roman"/>
                <w:i w:val="0"/>
                <w:iCs w:val="0"/>
                <w:color w:val="000000"/>
                <w:sz w:val="18"/>
                <w:szCs w:val="18"/>
                <w:u w:val="none"/>
                <w:lang w:val="en-US" w:eastAsia="zh-CN"/>
              </w:rPr>
              <w:t>4</w:t>
            </w:r>
          </w:p>
        </w:tc>
      </w:tr>
      <w:tr w14:paraId="1236D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0" w:hRule="atLeast"/>
          <w:jc w:val="center"/>
        </w:trPr>
        <w:tc>
          <w:tcPr>
            <w:tcW w:w="873" w:type="dxa"/>
            <w:vMerge w:val="continue"/>
            <w:tcBorders>
              <w:tl2br w:val="nil"/>
              <w:tr2bl w:val="nil"/>
            </w:tcBorders>
            <w:noWrap w:val="0"/>
            <w:vAlign w:val="center"/>
          </w:tcPr>
          <w:p w14:paraId="6D34789D">
            <w:pPr>
              <w:jc w:val="center"/>
              <w:rPr>
                <w:rFonts w:hint="eastAsia" w:ascii="宋体" w:hAnsi="宋体" w:eastAsia="宋体" w:cs="宋体"/>
                <w:i w:val="0"/>
                <w:iCs w:val="0"/>
                <w:color w:val="000000"/>
                <w:sz w:val="18"/>
                <w:szCs w:val="18"/>
                <w:u w:val="none"/>
              </w:rPr>
            </w:pPr>
          </w:p>
        </w:tc>
        <w:tc>
          <w:tcPr>
            <w:tcW w:w="870" w:type="dxa"/>
            <w:vMerge w:val="restart"/>
            <w:tcBorders>
              <w:tl2br w:val="nil"/>
              <w:tr2bl w:val="nil"/>
            </w:tcBorders>
            <w:noWrap w:val="0"/>
            <w:vAlign w:val="center"/>
          </w:tcPr>
          <w:p w14:paraId="0CDAE6FA">
            <w:pPr>
              <w:keepNext w:val="0"/>
              <w:keepLines w:val="0"/>
              <w:widowControl/>
              <w:suppressLineNumbers w:val="0"/>
              <w:jc w:val="center"/>
              <w:textAlignment w:val="center"/>
              <w:rPr>
                <w:rStyle w:val="13"/>
                <w:lang w:val="en-US" w:eastAsia="zh-CN" w:bidi="ar"/>
              </w:rPr>
            </w:pPr>
            <w:r>
              <w:rPr>
                <w:rStyle w:val="13"/>
                <w:lang w:val="en-US" w:eastAsia="zh-CN" w:bidi="ar"/>
              </w:rPr>
              <w:t>预算</w:t>
            </w:r>
          </w:p>
          <w:p w14:paraId="3D9F5937">
            <w:pPr>
              <w:keepNext w:val="0"/>
              <w:keepLines w:val="0"/>
              <w:widowControl/>
              <w:suppressLineNumbers w:val="0"/>
              <w:jc w:val="center"/>
              <w:textAlignment w:val="center"/>
              <w:rPr>
                <w:rStyle w:val="13"/>
                <w:lang w:val="en-US" w:eastAsia="zh-CN" w:bidi="ar"/>
              </w:rPr>
            </w:pPr>
            <w:r>
              <w:rPr>
                <w:rStyle w:val="13"/>
                <w:lang w:val="en-US" w:eastAsia="zh-CN" w:bidi="ar"/>
              </w:rPr>
              <w:t>配置</w:t>
            </w:r>
          </w:p>
          <w:p w14:paraId="735132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13"/>
                <w:lang w:val="en-US" w:eastAsia="zh-CN" w:bidi="ar"/>
              </w:rPr>
              <w:t>（</w:t>
            </w:r>
            <w:r>
              <w:rPr>
                <w:rStyle w:val="14"/>
                <w:rFonts w:eastAsia="宋体"/>
                <w:lang w:val="en-US" w:eastAsia="zh-CN" w:bidi="ar"/>
              </w:rPr>
              <w:t>7</w:t>
            </w:r>
            <w:r>
              <w:rPr>
                <w:rStyle w:val="13"/>
                <w:lang w:val="en-US" w:eastAsia="zh-CN" w:bidi="ar"/>
              </w:rPr>
              <w:t>分）</w:t>
            </w:r>
          </w:p>
        </w:tc>
        <w:tc>
          <w:tcPr>
            <w:tcW w:w="1050" w:type="dxa"/>
            <w:tcBorders>
              <w:tl2br w:val="nil"/>
              <w:tr2bl w:val="nil"/>
            </w:tcBorders>
            <w:noWrap w:val="0"/>
            <w:vAlign w:val="center"/>
          </w:tcPr>
          <w:p w14:paraId="2E8BA2CF">
            <w:pPr>
              <w:keepNext w:val="0"/>
              <w:keepLines w:val="0"/>
              <w:widowControl/>
              <w:suppressLineNumbers w:val="0"/>
              <w:jc w:val="center"/>
              <w:textAlignment w:val="center"/>
              <w:rPr>
                <w:rStyle w:val="13"/>
                <w:lang w:val="en-US" w:eastAsia="zh-CN" w:bidi="ar"/>
              </w:rPr>
            </w:pPr>
            <w:r>
              <w:rPr>
                <w:rStyle w:val="13"/>
                <w:lang w:val="en-US" w:eastAsia="zh-CN" w:bidi="ar"/>
              </w:rPr>
              <w:t>人员</w:t>
            </w:r>
          </w:p>
          <w:p w14:paraId="69A13F8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控制率</w:t>
            </w:r>
          </w:p>
        </w:tc>
        <w:tc>
          <w:tcPr>
            <w:tcW w:w="495" w:type="dxa"/>
            <w:tcBorders>
              <w:tl2br w:val="nil"/>
              <w:tr2bl w:val="nil"/>
            </w:tcBorders>
            <w:noWrap w:val="0"/>
            <w:vAlign w:val="center"/>
          </w:tcPr>
          <w:p w14:paraId="3793C5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2570" w:type="dxa"/>
            <w:tcBorders>
              <w:tl2br w:val="nil"/>
              <w:tr2bl w:val="nil"/>
            </w:tcBorders>
            <w:noWrap w:val="0"/>
            <w:vAlign w:val="center"/>
          </w:tcPr>
          <w:p w14:paraId="3852E53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部门（单位）本年度实际在职人员数与编制数的比率，用以反映和考核部门（单位）对人员成本的控制程度。</w:t>
            </w:r>
          </w:p>
        </w:tc>
        <w:tc>
          <w:tcPr>
            <w:tcW w:w="5112" w:type="dxa"/>
            <w:tcBorders>
              <w:tl2br w:val="nil"/>
              <w:tr2bl w:val="nil"/>
            </w:tcBorders>
            <w:noWrap w:val="0"/>
            <w:vAlign w:val="center"/>
          </w:tcPr>
          <w:p w14:paraId="6BAC0F95">
            <w:pPr>
              <w:keepNext w:val="0"/>
              <w:keepLines w:val="0"/>
              <w:widowControl/>
              <w:suppressLineNumbers w:val="0"/>
              <w:jc w:val="left"/>
              <w:textAlignment w:val="center"/>
              <w:rPr>
                <w:rStyle w:val="13"/>
                <w:lang w:val="en-US" w:eastAsia="zh-CN" w:bidi="ar"/>
              </w:rPr>
            </w:pPr>
          </w:p>
          <w:p w14:paraId="2121EC81">
            <w:pPr>
              <w:keepNext w:val="0"/>
              <w:keepLines w:val="0"/>
              <w:widowControl/>
              <w:suppressLineNumbers w:val="0"/>
              <w:jc w:val="left"/>
              <w:textAlignment w:val="center"/>
              <w:rPr>
                <w:rStyle w:val="13"/>
                <w:lang w:val="en-US" w:eastAsia="zh-CN" w:bidi="ar"/>
              </w:rPr>
            </w:pPr>
            <w:r>
              <w:rPr>
                <w:rStyle w:val="13"/>
                <w:lang w:val="en-US" w:eastAsia="zh-CN" w:bidi="ar"/>
              </w:rPr>
              <w:t>在职人员控制率</w:t>
            </w:r>
            <w:r>
              <w:rPr>
                <w:rStyle w:val="14"/>
                <w:rFonts w:eastAsia="宋体"/>
                <w:lang w:val="en-US" w:eastAsia="zh-CN" w:bidi="ar"/>
              </w:rPr>
              <w:t>=</w:t>
            </w:r>
            <w:r>
              <w:rPr>
                <w:rStyle w:val="13"/>
                <w:lang w:val="en-US" w:eastAsia="zh-CN" w:bidi="ar"/>
              </w:rPr>
              <w:t>（在职人员数</w:t>
            </w:r>
            <w:r>
              <w:rPr>
                <w:rStyle w:val="14"/>
                <w:rFonts w:eastAsia="宋体"/>
                <w:lang w:val="en-US" w:eastAsia="zh-CN" w:bidi="ar"/>
              </w:rPr>
              <w:t>/</w:t>
            </w:r>
            <w:r>
              <w:rPr>
                <w:rStyle w:val="13"/>
                <w:lang w:val="en-US" w:eastAsia="zh-CN" w:bidi="ar"/>
              </w:rPr>
              <w:t>编制数）</w:t>
            </w:r>
            <w:r>
              <w:rPr>
                <w:rStyle w:val="14"/>
                <w:rFonts w:eastAsia="宋体"/>
                <w:lang w:val="en-US" w:eastAsia="zh-CN" w:bidi="ar"/>
              </w:rPr>
              <w:t>×100%</w:t>
            </w:r>
            <w:r>
              <w:rPr>
                <w:rStyle w:val="13"/>
                <w:lang w:val="en-US" w:eastAsia="zh-CN" w:bidi="ar"/>
              </w:rPr>
              <w:t>。</w:t>
            </w:r>
          </w:p>
          <w:p w14:paraId="78B8C4A8">
            <w:pPr>
              <w:keepNext w:val="0"/>
              <w:keepLines w:val="0"/>
              <w:widowControl/>
              <w:suppressLineNumbers w:val="0"/>
              <w:jc w:val="left"/>
              <w:textAlignment w:val="center"/>
              <w:rPr>
                <w:rStyle w:val="13"/>
                <w:lang w:val="en-US" w:eastAsia="zh-CN" w:bidi="ar"/>
              </w:rPr>
            </w:pPr>
            <w:r>
              <w:rPr>
                <w:rStyle w:val="13"/>
                <w:lang w:val="en-US" w:eastAsia="zh-CN" w:bidi="ar"/>
              </w:rPr>
              <w:t>在职人员数：部门（单位）实际在职人数</w:t>
            </w:r>
            <w:r>
              <w:rPr>
                <w:rStyle w:val="14"/>
                <w:rFonts w:eastAsia="宋体"/>
                <w:lang w:val="en-US" w:eastAsia="zh-CN" w:bidi="ar"/>
              </w:rPr>
              <w:t>,</w:t>
            </w:r>
            <w:r>
              <w:rPr>
                <w:rStyle w:val="13"/>
                <w:lang w:val="en-US" w:eastAsia="zh-CN" w:bidi="ar"/>
              </w:rPr>
              <w:t>以财政部门确定的部门决算编制口径为准。</w:t>
            </w:r>
          </w:p>
          <w:p w14:paraId="5EDFA1CF">
            <w:pPr>
              <w:keepNext w:val="0"/>
              <w:keepLines w:val="0"/>
              <w:widowControl/>
              <w:suppressLineNumbers w:val="0"/>
              <w:jc w:val="left"/>
              <w:textAlignment w:val="center"/>
              <w:rPr>
                <w:rStyle w:val="14"/>
                <w:rFonts w:eastAsia="宋体"/>
                <w:lang w:val="en-US" w:eastAsia="zh-CN" w:bidi="ar"/>
              </w:rPr>
            </w:pPr>
            <w:r>
              <w:rPr>
                <w:rStyle w:val="13"/>
                <w:lang w:val="en-US" w:eastAsia="zh-CN" w:bidi="ar"/>
              </w:rPr>
              <w:t>编制数：机构编制部门核定批复的部门（单位）人员编制数。</w:t>
            </w:r>
            <w:r>
              <w:rPr>
                <w:rStyle w:val="14"/>
                <w:rFonts w:eastAsia="宋体"/>
                <w:lang w:val="en-US" w:eastAsia="zh-CN" w:bidi="ar"/>
              </w:rPr>
              <w:t xml:space="preserve">   </w:t>
            </w:r>
          </w:p>
          <w:p w14:paraId="078CAA2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在职人员控制率≦</w:t>
            </w:r>
            <w:r>
              <w:rPr>
                <w:rStyle w:val="14"/>
                <w:rFonts w:eastAsia="宋体"/>
                <w:lang w:val="en-US" w:eastAsia="zh-CN" w:bidi="ar"/>
              </w:rPr>
              <w:t>100%</w:t>
            </w:r>
            <w:r>
              <w:rPr>
                <w:rStyle w:val="13"/>
                <w:lang w:val="en-US" w:eastAsia="zh-CN" w:bidi="ar"/>
              </w:rPr>
              <w:t>计</w:t>
            </w:r>
            <w:r>
              <w:rPr>
                <w:rStyle w:val="14"/>
                <w:rFonts w:eastAsia="宋体"/>
                <w:lang w:val="en-US" w:eastAsia="zh-CN" w:bidi="ar"/>
              </w:rPr>
              <w:t>2</w:t>
            </w:r>
            <w:r>
              <w:rPr>
                <w:rStyle w:val="13"/>
                <w:lang w:val="en-US" w:eastAsia="zh-CN" w:bidi="ar"/>
              </w:rPr>
              <w:t>分，每超出</w:t>
            </w:r>
            <w:r>
              <w:rPr>
                <w:rStyle w:val="14"/>
                <w:rFonts w:eastAsia="宋体"/>
                <w:lang w:val="en-US" w:eastAsia="zh-CN" w:bidi="ar"/>
              </w:rPr>
              <w:t>1%</w:t>
            </w:r>
            <w:r>
              <w:rPr>
                <w:rStyle w:val="13"/>
                <w:lang w:val="en-US" w:eastAsia="zh-CN" w:bidi="ar"/>
              </w:rPr>
              <w:t>扣</w:t>
            </w:r>
            <w:r>
              <w:rPr>
                <w:rStyle w:val="14"/>
                <w:rFonts w:eastAsia="宋体"/>
                <w:lang w:val="en-US" w:eastAsia="zh-CN" w:bidi="ar"/>
              </w:rPr>
              <w:t>0.2</w:t>
            </w:r>
            <w:r>
              <w:rPr>
                <w:rStyle w:val="13"/>
                <w:lang w:val="en-US" w:eastAsia="zh-CN" w:bidi="ar"/>
              </w:rPr>
              <w:t>分，扣完为止。</w:t>
            </w:r>
          </w:p>
        </w:tc>
        <w:tc>
          <w:tcPr>
            <w:tcW w:w="2115" w:type="dxa"/>
            <w:tcBorders>
              <w:tl2br w:val="nil"/>
              <w:tr2bl w:val="nil"/>
            </w:tcBorders>
            <w:noWrap w:val="0"/>
            <w:vAlign w:val="center"/>
          </w:tcPr>
          <w:p w14:paraId="348D70A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部门（单位）决算报表；机构编制部门核定批复的部门（单位）的人员编制数。</w:t>
            </w:r>
          </w:p>
        </w:tc>
        <w:tc>
          <w:tcPr>
            <w:tcW w:w="586" w:type="dxa"/>
            <w:tcBorders>
              <w:tl2br w:val="nil"/>
              <w:tr2bl w:val="nil"/>
            </w:tcBorders>
            <w:noWrap w:val="0"/>
            <w:vAlign w:val="center"/>
          </w:tcPr>
          <w:p w14:paraId="7AF40E64">
            <w:pPr>
              <w:jc w:val="left"/>
              <w:rPr>
                <w:rFonts w:hint="default" w:ascii="Times New Roman" w:hAnsi="Times New Roman" w:eastAsia="宋体" w:cs="Times New Roman"/>
                <w:i w:val="0"/>
                <w:iCs w:val="0"/>
                <w:color w:val="000000"/>
                <w:sz w:val="18"/>
                <w:szCs w:val="18"/>
                <w:u w:val="none"/>
                <w:lang w:val="en-US" w:eastAsia="zh-CN"/>
              </w:rPr>
            </w:pPr>
            <w:r>
              <w:rPr>
                <w:rFonts w:hint="eastAsia" w:ascii="Times New Roman" w:hAnsi="Times New Roman" w:cs="Times New Roman"/>
                <w:i w:val="0"/>
                <w:iCs w:val="0"/>
                <w:color w:val="000000"/>
                <w:sz w:val="18"/>
                <w:szCs w:val="18"/>
                <w:u w:val="none"/>
                <w:lang w:val="en-US" w:eastAsia="zh-CN"/>
              </w:rPr>
              <w:t>2</w:t>
            </w:r>
          </w:p>
        </w:tc>
      </w:tr>
      <w:tr w14:paraId="3F69C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05" w:hRule="atLeast"/>
          <w:jc w:val="center"/>
        </w:trPr>
        <w:tc>
          <w:tcPr>
            <w:tcW w:w="873" w:type="dxa"/>
            <w:vMerge w:val="continue"/>
            <w:tcBorders>
              <w:tl2br w:val="nil"/>
              <w:tr2bl w:val="nil"/>
            </w:tcBorders>
            <w:noWrap w:val="0"/>
            <w:vAlign w:val="center"/>
          </w:tcPr>
          <w:p w14:paraId="086DA6C0">
            <w:pPr>
              <w:jc w:val="center"/>
              <w:rPr>
                <w:rFonts w:hint="eastAsia" w:ascii="宋体" w:hAnsi="宋体" w:eastAsia="宋体" w:cs="宋体"/>
                <w:i w:val="0"/>
                <w:iCs w:val="0"/>
                <w:color w:val="000000"/>
                <w:sz w:val="18"/>
                <w:szCs w:val="18"/>
                <w:u w:val="none"/>
              </w:rPr>
            </w:pPr>
          </w:p>
        </w:tc>
        <w:tc>
          <w:tcPr>
            <w:tcW w:w="870" w:type="dxa"/>
            <w:vMerge w:val="continue"/>
            <w:tcBorders>
              <w:tl2br w:val="nil"/>
              <w:tr2bl w:val="nil"/>
            </w:tcBorders>
            <w:noWrap w:val="0"/>
            <w:vAlign w:val="center"/>
          </w:tcPr>
          <w:p w14:paraId="059BCBD2">
            <w:pPr>
              <w:jc w:val="center"/>
              <w:rPr>
                <w:rFonts w:hint="eastAsia" w:ascii="宋体" w:hAnsi="宋体" w:eastAsia="宋体" w:cs="宋体"/>
                <w:i w:val="0"/>
                <w:iCs w:val="0"/>
                <w:color w:val="000000"/>
                <w:sz w:val="18"/>
                <w:szCs w:val="18"/>
                <w:u w:val="none"/>
              </w:rPr>
            </w:pPr>
          </w:p>
        </w:tc>
        <w:tc>
          <w:tcPr>
            <w:tcW w:w="1050" w:type="dxa"/>
            <w:tcBorders>
              <w:tl2br w:val="nil"/>
              <w:tr2bl w:val="nil"/>
            </w:tcBorders>
            <w:noWrap w:val="0"/>
            <w:vAlign w:val="center"/>
          </w:tcPr>
          <w:p w14:paraId="763A4125">
            <w:pPr>
              <w:keepNext w:val="0"/>
              <w:keepLines w:val="0"/>
              <w:widowControl/>
              <w:suppressLineNumbers w:val="0"/>
              <w:jc w:val="center"/>
              <w:textAlignment w:val="center"/>
              <w:rPr>
                <w:rStyle w:val="14"/>
                <w:rFonts w:eastAsia="宋体"/>
                <w:lang w:val="en-US" w:eastAsia="zh-CN" w:bidi="ar"/>
              </w:rPr>
            </w:pPr>
            <w:r>
              <w:rPr>
                <w:rStyle w:val="14"/>
                <w:rFonts w:eastAsia="宋体"/>
                <w:lang w:val="en-US" w:eastAsia="zh-CN" w:bidi="ar"/>
              </w:rPr>
              <w:t>“</w:t>
            </w:r>
            <w:r>
              <w:rPr>
                <w:rStyle w:val="13"/>
                <w:lang w:val="en-US" w:eastAsia="zh-CN" w:bidi="ar"/>
              </w:rPr>
              <w:t>三公经费</w:t>
            </w:r>
            <w:r>
              <w:rPr>
                <w:rStyle w:val="14"/>
                <w:rFonts w:eastAsia="宋体"/>
                <w:lang w:val="en-US" w:eastAsia="zh-CN" w:bidi="ar"/>
              </w:rPr>
              <w:t>”</w:t>
            </w:r>
          </w:p>
          <w:p w14:paraId="4901F9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变动率</w:t>
            </w:r>
          </w:p>
        </w:tc>
        <w:tc>
          <w:tcPr>
            <w:tcW w:w="495" w:type="dxa"/>
            <w:tcBorders>
              <w:tl2br w:val="nil"/>
              <w:tr2bl w:val="nil"/>
            </w:tcBorders>
            <w:noWrap w:val="0"/>
            <w:vAlign w:val="center"/>
          </w:tcPr>
          <w:p w14:paraId="026F7E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2570" w:type="dxa"/>
            <w:tcBorders>
              <w:tl2br w:val="nil"/>
              <w:tr2bl w:val="nil"/>
            </w:tcBorders>
            <w:noWrap w:val="0"/>
            <w:vAlign w:val="center"/>
          </w:tcPr>
          <w:p w14:paraId="7CCE4CB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部门本年度</w:t>
            </w:r>
            <w:r>
              <w:rPr>
                <w:rStyle w:val="14"/>
                <w:rFonts w:eastAsia="宋体"/>
                <w:lang w:val="en-US" w:eastAsia="zh-CN" w:bidi="ar"/>
              </w:rPr>
              <w:t>“</w:t>
            </w:r>
            <w:r>
              <w:rPr>
                <w:rStyle w:val="13"/>
                <w:lang w:val="en-US" w:eastAsia="zh-CN" w:bidi="ar"/>
              </w:rPr>
              <w:t>三公经费</w:t>
            </w:r>
            <w:r>
              <w:rPr>
                <w:rStyle w:val="14"/>
                <w:rFonts w:eastAsia="宋体"/>
                <w:lang w:val="en-US" w:eastAsia="zh-CN" w:bidi="ar"/>
              </w:rPr>
              <w:t>”</w:t>
            </w:r>
            <w:r>
              <w:rPr>
                <w:rStyle w:val="13"/>
                <w:lang w:val="en-US" w:eastAsia="zh-CN" w:bidi="ar"/>
              </w:rPr>
              <w:t>预算数与上年度</w:t>
            </w:r>
            <w:r>
              <w:rPr>
                <w:rStyle w:val="14"/>
                <w:rFonts w:eastAsia="宋体"/>
                <w:lang w:val="en-US" w:eastAsia="zh-CN" w:bidi="ar"/>
              </w:rPr>
              <w:t>“</w:t>
            </w:r>
            <w:r>
              <w:rPr>
                <w:rStyle w:val="13"/>
                <w:lang w:val="en-US" w:eastAsia="zh-CN" w:bidi="ar"/>
              </w:rPr>
              <w:t>三公经费</w:t>
            </w:r>
            <w:r>
              <w:rPr>
                <w:rStyle w:val="14"/>
                <w:rFonts w:eastAsia="宋体"/>
                <w:lang w:val="en-US" w:eastAsia="zh-CN" w:bidi="ar"/>
              </w:rPr>
              <w:t>”</w:t>
            </w:r>
            <w:r>
              <w:rPr>
                <w:rStyle w:val="13"/>
                <w:lang w:val="en-US" w:eastAsia="zh-CN" w:bidi="ar"/>
              </w:rPr>
              <w:t>预算数的变动比率，用以反映和考核部门对控制重点行政成本的努力程度。</w:t>
            </w:r>
          </w:p>
        </w:tc>
        <w:tc>
          <w:tcPr>
            <w:tcW w:w="5112" w:type="dxa"/>
            <w:tcBorders>
              <w:tl2br w:val="nil"/>
              <w:tr2bl w:val="nil"/>
            </w:tcBorders>
            <w:noWrap w:val="0"/>
            <w:vAlign w:val="center"/>
          </w:tcPr>
          <w:p w14:paraId="570D29A9">
            <w:pPr>
              <w:keepNext w:val="0"/>
              <w:keepLines w:val="0"/>
              <w:widowControl/>
              <w:suppressLineNumbers w:val="0"/>
              <w:jc w:val="left"/>
              <w:textAlignment w:val="center"/>
              <w:rPr>
                <w:rStyle w:val="14"/>
                <w:rFonts w:eastAsia="宋体"/>
                <w:lang w:val="en-US" w:eastAsia="zh-CN" w:bidi="ar"/>
              </w:rPr>
            </w:pPr>
          </w:p>
          <w:p w14:paraId="05570791">
            <w:pPr>
              <w:keepNext w:val="0"/>
              <w:keepLines w:val="0"/>
              <w:widowControl/>
              <w:suppressLineNumbers w:val="0"/>
              <w:jc w:val="left"/>
              <w:textAlignment w:val="center"/>
              <w:rPr>
                <w:rStyle w:val="13"/>
                <w:lang w:val="en-US" w:eastAsia="zh-CN" w:bidi="ar"/>
              </w:rPr>
            </w:pPr>
            <w:r>
              <w:rPr>
                <w:rStyle w:val="14"/>
                <w:rFonts w:eastAsia="宋体"/>
                <w:lang w:val="en-US" w:eastAsia="zh-CN" w:bidi="ar"/>
              </w:rPr>
              <w:t>“</w:t>
            </w:r>
            <w:r>
              <w:rPr>
                <w:rStyle w:val="13"/>
                <w:lang w:val="en-US" w:eastAsia="zh-CN" w:bidi="ar"/>
              </w:rPr>
              <w:t>三公经费</w:t>
            </w:r>
            <w:r>
              <w:rPr>
                <w:rStyle w:val="14"/>
                <w:rFonts w:eastAsia="宋体"/>
                <w:lang w:val="en-US" w:eastAsia="zh-CN" w:bidi="ar"/>
              </w:rPr>
              <w:t>”</w:t>
            </w:r>
            <w:r>
              <w:rPr>
                <w:rStyle w:val="13"/>
                <w:lang w:val="en-US" w:eastAsia="zh-CN" w:bidi="ar"/>
              </w:rPr>
              <w:t>变动率</w:t>
            </w:r>
            <w:r>
              <w:rPr>
                <w:rStyle w:val="14"/>
                <w:rFonts w:eastAsia="宋体"/>
                <w:lang w:val="en-US" w:eastAsia="zh-CN" w:bidi="ar"/>
              </w:rPr>
              <w:t>=[</w:t>
            </w:r>
            <w:r>
              <w:rPr>
                <w:rStyle w:val="13"/>
                <w:lang w:val="en-US" w:eastAsia="zh-CN" w:bidi="ar"/>
              </w:rPr>
              <w:t>（本年度</w:t>
            </w:r>
            <w:r>
              <w:rPr>
                <w:rStyle w:val="14"/>
                <w:rFonts w:eastAsia="宋体"/>
                <w:lang w:val="en-US" w:eastAsia="zh-CN" w:bidi="ar"/>
              </w:rPr>
              <w:t>“</w:t>
            </w:r>
            <w:r>
              <w:rPr>
                <w:rStyle w:val="13"/>
                <w:lang w:val="en-US" w:eastAsia="zh-CN" w:bidi="ar"/>
              </w:rPr>
              <w:t>三公经费</w:t>
            </w:r>
            <w:r>
              <w:rPr>
                <w:rStyle w:val="14"/>
                <w:rFonts w:eastAsia="宋体"/>
                <w:lang w:val="en-US" w:eastAsia="zh-CN" w:bidi="ar"/>
              </w:rPr>
              <w:t>”</w:t>
            </w:r>
            <w:r>
              <w:rPr>
                <w:rStyle w:val="13"/>
                <w:lang w:val="en-US" w:eastAsia="zh-CN" w:bidi="ar"/>
              </w:rPr>
              <w:t>总额</w:t>
            </w:r>
            <w:r>
              <w:rPr>
                <w:rStyle w:val="14"/>
                <w:rFonts w:eastAsia="宋体"/>
                <w:lang w:val="en-US" w:eastAsia="zh-CN" w:bidi="ar"/>
              </w:rPr>
              <w:t>-</w:t>
            </w:r>
            <w:r>
              <w:rPr>
                <w:rStyle w:val="13"/>
                <w:lang w:val="en-US" w:eastAsia="zh-CN" w:bidi="ar"/>
              </w:rPr>
              <w:t>上年度</w:t>
            </w:r>
            <w:r>
              <w:rPr>
                <w:rStyle w:val="14"/>
                <w:rFonts w:eastAsia="宋体"/>
                <w:lang w:val="en-US" w:eastAsia="zh-CN" w:bidi="ar"/>
              </w:rPr>
              <w:t>“</w:t>
            </w:r>
            <w:r>
              <w:rPr>
                <w:rStyle w:val="13"/>
                <w:lang w:val="en-US" w:eastAsia="zh-CN" w:bidi="ar"/>
              </w:rPr>
              <w:t>三公经费</w:t>
            </w:r>
            <w:r>
              <w:rPr>
                <w:rStyle w:val="14"/>
                <w:rFonts w:eastAsia="宋体"/>
                <w:lang w:val="en-US" w:eastAsia="zh-CN" w:bidi="ar"/>
              </w:rPr>
              <w:t>”</w:t>
            </w:r>
            <w:r>
              <w:rPr>
                <w:rStyle w:val="13"/>
                <w:lang w:val="en-US" w:eastAsia="zh-CN" w:bidi="ar"/>
              </w:rPr>
              <w:t>总额）</w:t>
            </w:r>
            <w:r>
              <w:rPr>
                <w:rStyle w:val="14"/>
                <w:rFonts w:eastAsia="宋体"/>
                <w:lang w:val="en-US" w:eastAsia="zh-CN" w:bidi="ar"/>
              </w:rPr>
              <w:t>/</w:t>
            </w:r>
            <w:r>
              <w:rPr>
                <w:rStyle w:val="13"/>
                <w:lang w:val="en-US" w:eastAsia="zh-CN" w:bidi="ar"/>
              </w:rPr>
              <w:t>上年度</w:t>
            </w:r>
            <w:r>
              <w:rPr>
                <w:rStyle w:val="14"/>
                <w:rFonts w:eastAsia="宋体"/>
                <w:lang w:val="en-US" w:eastAsia="zh-CN" w:bidi="ar"/>
              </w:rPr>
              <w:t>“</w:t>
            </w:r>
            <w:r>
              <w:rPr>
                <w:rStyle w:val="13"/>
                <w:lang w:val="en-US" w:eastAsia="zh-CN" w:bidi="ar"/>
              </w:rPr>
              <w:t>三公经费</w:t>
            </w:r>
            <w:r>
              <w:rPr>
                <w:rStyle w:val="14"/>
                <w:rFonts w:eastAsia="宋体"/>
                <w:lang w:val="en-US" w:eastAsia="zh-CN" w:bidi="ar"/>
              </w:rPr>
              <w:t>”</w:t>
            </w:r>
            <w:r>
              <w:rPr>
                <w:rStyle w:val="13"/>
                <w:lang w:val="en-US" w:eastAsia="zh-CN" w:bidi="ar"/>
              </w:rPr>
              <w:t>总额</w:t>
            </w:r>
            <w:r>
              <w:rPr>
                <w:rStyle w:val="14"/>
                <w:rFonts w:eastAsia="宋体"/>
                <w:lang w:val="en-US" w:eastAsia="zh-CN" w:bidi="ar"/>
              </w:rPr>
              <w:t>]×100%</w:t>
            </w:r>
            <w:r>
              <w:rPr>
                <w:rStyle w:val="13"/>
                <w:lang w:val="en-US" w:eastAsia="zh-CN" w:bidi="ar"/>
              </w:rPr>
              <w:t>。</w:t>
            </w:r>
            <w:r>
              <w:rPr>
                <w:rStyle w:val="14"/>
                <w:rFonts w:eastAsia="宋体"/>
                <w:lang w:val="en-US" w:eastAsia="zh-CN" w:bidi="ar"/>
              </w:rPr>
              <w:t>“</w:t>
            </w:r>
            <w:r>
              <w:rPr>
                <w:rStyle w:val="13"/>
                <w:lang w:val="en-US" w:eastAsia="zh-CN" w:bidi="ar"/>
              </w:rPr>
              <w:t>三公经费</w:t>
            </w:r>
            <w:r>
              <w:rPr>
                <w:rStyle w:val="14"/>
                <w:rFonts w:eastAsia="宋体"/>
                <w:lang w:val="en-US" w:eastAsia="zh-CN" w:bidi="ar"/>
              </w:rPr>
              <w:t>”</w:t>
            </w:r>
            <w:r>
              <w:rPr>
                <w:rStyle w:val="13"/>
                <w:lang w:val="en-US" w:eastAsia="zh-CN" w:bidi="ar"/>
              </w:rPr>
              <w:t>：年度预算安排的因公出国（境）费、公务车辆购置及运行费和公务招待费。</w:t>
            </w:r>
          </w:p>
          <w:p w14:paraId="2A52BB9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该项得分，变动率为负数，计</w:t>
            </w:r>
            <w:r>
              <w:rPr>
                <w:rStyle w:val="14"/>
                <w:rFonts w:eastAsia="宋体"/>
                <w:lang w:val="en-US" w:eastAsia="zh-CN" w:bidi="ar"/>
              </w:rPr>
              <w:t>2</w:t>
            </w:r>
            <w:r>
              <w:rPr>
                <w:rStyle w:val="13"/>
                <w:lang w:val="en-US" w:eastAsia="zh-CN" w:bidi="ar"/>
              </w:rPr>
              <w:t>分，变动率为正数，计</w:t>
            </w:r>
            <w:r>
              <w:rPr>
                <w:rStyle w:val="14"/>
                <w:rFonts w:eastAsia="宋体"/>
                <w:lang w:val="en-US" w:eastAsia="zh-CN" w:bidi="ar"/>
              </w:rPr>
              <w:t>0</w:t>
            </w:r>
            <w:r>
              <w:rPr>
                <w:rStyle w:val="13"/>
                <w:lang w:val="en-US" w:eastAsia="zh-CN" w:bidi="ar"/>
              </w:rPr>
              <w:t>分。年度内</w:t>
            </w:r>
            <w:r>
              <w:rPr>
                <w:rStyle w:val="14"/>
                <w:rFonts w:eastAsia="宋体"/>
                <w:lang w:val="en-US" w:eastAsia="zh-CN" w:bidi="ar"/>
              </w:rPr>
              <w:t>“</w:t>
            </w:r>
            <w:r>
              <w:rPr>
                <w:rStyle w:val="13"/>
                <w:lang w:val="en-US" w:eastAsia="zh-CN" w:bidi="ar"/>
              </w:rPr>
              <w:t>三公经费</w:t>
            </w:r>
            <w:r>
              <w:rPr>
                <w:rStyle w:val="14"/>
                <w:rFonts w:eastAsia="宋体"/>
                <w:lang w:val="en-US" w:eastAsia="zh-CN" w:bidi="ar"/>
              </w:rPr>
              <w:t>”</w:t>
            </w:r>
            <w:r>
              <w:rPr>
                <w:rStyle w:val="13"/>
                <w:lang w:val="en-US" w:eastAsia="zh-CN" w:bidi="ar"/>
              </w:rPr>
              <w:t>完成数超过预算数，则该项计</w:t>
            </w:r>
            <w:r>
              <w:rPr>
                <w:rStyle w:val="14"/>
                <w:rFonts w:eastAsia="宋体"/>
                <w:lang w:val="en-US" w:eastAsia="zh-CN" w:bidi="ar"/>
              </w:rPr>
              <w:t>0</w:t>
            </w:r>
            <w:r>
              <w:rPr>
                <w:rStyle w:val="13"/>
                <w:lang w:val="en-US" w:eastAsia="zh-CN" w:bidi="ar"/>
              </w:rPr>
              <w:t>分。</w:t>
            </w:r>
          </w:p>
        </w:tc>
        <w:tc>
          <w:tcPr>
            <w:tcW w:w="2115" w:type="dxa"/>
            <w:tcBorders>
              <w:tl2br w:val="nil"/>
              <w:tr2bl w:val="nil"/>
            </w:tcBorders>
            <w:noWrap w:val="0"/>
            <w:vAlign w:val="center"/>
          </w:tcPr>
          <w:p w14:paraId="2192085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本年度和上年度部门（单位）预算</w:t>
            </w:r>
            <w:r>
              <w:rPr>
                <w:rStyle w:val="14"/>
                <w:rFonts w:eastAsia="宋体"/>
                <w:lang w:val="en-US" w:eastAsia="zh-CN" w:bidi="ar"/>
              </w:rPr>
              <w:t>“</w:t>
            </w:r>
            <w:r>
              <w:rPr>
                <w:rStyle w:val="13"/>
                <w:lang w:val="en-US" w:eastAsia="zh-CN" w:bidi="ar"/>
              </w:rPr>
              <w:t>三公经费</w:t>
            </w:r>
            <w:r>
              <w:rPr>
                <w:rStyle w:val="14"/>
                <w:rFonts w:eastAsia="宋体"/>
                <w:lang w:val="en-US" w:eastAsia="zh-CN" w:bidi="ar"/>
              </w:rPr>
              <w:t>”</w:t>
            </w:r>
            <w:r>
              <w:rPr>
                <w:rStyle w:val="13"/>
                <w:lang w:val="en-US" w:eastAsia="zh-CN" w:bidi="ar"/>
              </w:rPr>
              <w:t>报表；</w:t>
            </w:r>
          </w:p>
        </w:tc>
        <w:tc>
          <w:tcPr>
            <w:tcW w:w="586" w:type="dxa"/>
            <w:tcBorders>
              <w:tl2br w:val="nil"/>
              <w:tr2bl w:val="nil"/>
            </w:tcBorders>
            <w:noWrap w:val="0"/>
            <w:vAlign w:val="center"/>
          </w:tcPr>
          <w:p w14:paraId="4C93EF82">
            <w:pPr>
              <w:jc w:val="left"/>
              <w:rPr>
                <w:rFonts w:hint="eastAsia" w:ascii="Times New Roman" w:hAnsi="Times New Roman" w:eastAsia="宋体" w:cs="Times New Roman"/>
                <w:i w:val="0"/>
                <w:iCs w:val="0"/>
                <w:color w:val="000000"/>
                <w:sz w:val="18"/>
                <w:szCs w:val="18"/>
                <w:u w:val="none"/>
                <w:lang w:val="en-US" w:eastAsia="zh-CN"/>
              </w:rPr>
            </w:pPr>
            <w:r>
              <w:rPr>
                <w:rFonts w:hint="eastAsia" w:ascii="Times New Roman" w:hAnsi="Times New Roman" w:cs="Times New Roman"/>
                <w:i w:val="0"/>
                <w:iCs w:val="0"/>
                <w:color w:val="000000"/>
                <w:sz w:val="18"/>
                <w:szCs w:val="18"/>
                <w:u w:val="none"/>
                <w:lang w:val="en-US" w:eastAsia="zh-CN"/>
              </w:rPr>
              <w:t>2</w:t>
            </w:r>
          </w:p>
        </w:tc>
      </w:tr>
      <w:tr w14:paraId="49F587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45" w:hRule="atLeast"/>
          <w:jc w:val="center"/>
        </w:trPr>
        <w:tc>
          <w:tcPr>
            <w:tcW w:w="873" w:type="dxa"/>
            <w:vMerge w:val="continue"/>
            <w:tcBorders>
              <w:tl2br w:val="nil"/>
              <w:tr2bl w:val="nil"/>
            </w:tcBorders>
            <w:noWrap w:val="0"/>
            <w:vAlign w:val="center"/>
          </w:tcPr>
          <w:p w14:paraId="0D6A3925">
            <w:pPr>
              <w:jc w:val="center"/>
              <w:rPr>
                <w:rFonts w:hint="eastAsia" w:ascii="宋体" w:hAnsi="宋体" w:eastAsia="宋体" w:cs="宋体"/>
                <w:i w:val="0"/>
                <w:iCs w:val="0"/>
                <w:color w:val="000000"/>
                <w:sz w:val="18"/>
                <w:szCs w:val="18"/>
                <w:u w:val="none"/>
              </w:rPr>
            </w:pPr>
          </w:p>
        </w:tc>
        <w:tc>
          <w:tcPr>
            <w:tcW w:w="870" w:type="dxa"/>
            <w:vMerge w:val="continue"/>
            <w:tcBorders>
              <w:tl2br w:val="nil"/>
              <w:tr2bl w:val="nil"/>
            </w:tcBorders>
            <w:noWrap w:val="0"/>
            <w:vAlign w:val="center"/>
          </w:tcPr>
          <w:p w14:paraId="13DB8172">
            <w:pPr>
              <w:jc w:val="center"/>
              <w:rPr>
                <w:rFonts w:hint="eastAsia" w:ascii="宋体" w:hAnsi="宋体" w:eastAsia="宋体" w:cs="宋体"/>
                <w:i w:val="0"/>
                <w:iCs w:val="0"/>
                <w:color w:val="000000"/>
                <w:sz w:val="18"/>
                <w:szCs w:val="18"/>
                <w:u w:val="none"/>
              </w:rPr>
            </w:pPr>
          </w:p>
        </w:tc>
        <w:tc>
          <w:tcPr>
            <w:tcW w:w="1050" w:type="dxa"/>
            <w:tcBorders>
              <w:tl2br w:val="nil"/>
              <w:tr2bl w:val="nil"/>
            </w:tcBorders>
            <w:noWrap w:val="0"/>
            <w:vAlign w:val="center"/>
          </w:tcPr>
          <w:p w14:paraId="65F2376D">
            <w:pPr>
              <w:keepNext w:val="0"/>
              <w:keepLines w:val="0"/>
              <w:widowControl/>
              <w:suppressLineNumbers w:val="0"/>
              <w:jc w:val="center"/>
              <w:textAlignment w:val="center"/>
              <w:rPr>
                <w:rStyle w:val="13"/>
                <w:lang w:val="en-US" w:eastAsia="zh-CN" w:bidi="ar"/>
              </w:rPr>
            </w:pPr>
            <w:r>
              <w:rPr>
                <w:rStyle w:val="13"/>
                <w:lang w:val="en-US" w:eastAsia="zh-CN" w:bidi="ar"/>
              </w:rPr>
              <w:t>重点</w:t>
            </w:r>
          </w:p>
          <w:p w14:paraId="1D76DAA8">
            <w:pPr>
              <w:keepNext w:val="0"/>
              <w:keepLines w:val="0"/>
              <w:widowControl/>
              <w:suppressLineNumbers w:val="0"/>
              <w:jc w:val="center"/>
              <w:textAlignment w:val="center"/>
              <w:rPr>
                <w:rStyle w:val="13"/>
                <w:lang w:val="en-US" w:eastAsia="zh-CN" w:bidi="ar"/>
              </w:rPr>
            </w:pPr>
            <w:r>
              <w:rPr>
                <w:rStyle w:val="13"/>
                <w:lang w:val="en-US" w:eastAsia="zh-CN" w:bidi="ar"/>
              </w:rPr>
              <w:t>支出</w:t>
            </w:r>
          </w:p>
          <w:p w14:paraId="1D74D3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安排率</w:t>
            </w:r>
          </w:p>
        </w:tc>
        <w:tc>
          <w:tcPr>
            <w:tcW w:w="495" w:type="dxa"/>
            <w:tcBorders>
              <w:tl2br w:val="nil"/>
              <w:tr2bl w:val="nil"/>
            </w:tcBorders>
            <w:noWrap w:val="0"/>
            <w:vAlign w:val="center"/>
          </w:tcPr>
          <w:p w14:paraId="0021BDA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2570" w:type="dxa"/>
            <w:tcBorders>
              <w:tl2br w:val="nil"/>
              <w:tr2bl w:val="nil"/>
            </w:tcBorders>
            <w:noWrap w:val="0"/>
            <w:vAlign w:val="center"/>
          </w:tcPr>
          <w:p w14:paraId="076AFD2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部门本年度重点实际支出与预算安排的重点预算支出的比率，用以反映和考核部门对履行主要职责或完成重点任务的保障程度。</w:t>
            </w:r>
          </w:p>
        </w:tc>
        <w:tc>
          <w:tcPr>
            <w:tcW w:w="5112" w:type="dxa"/>
            <w:tcBorders>
              <w:tl2br w:val="nil"/>
              <w:tr2bl w:val="nil"/>
            </w:tcBorders>
            <w:noWrap w:val="0"/>
            <w:vAlign w:val="center"/>
          </w:tcPr>
          <w:p w14:paraId="6A9536C9">
            <w:pPr>
              <w:keepNext w:val="0"/>
              <w:keepLines w:val="0"/>
              <w:widowControl/>
              <w:suppressLineNumbers w:val="0"/>
              <w:jc w:val="left"/>
              <w:textAlignment w:val="center"/>
              <w:rPr>
                <w:rStyle w:val="13"/>
                <w:lang w:val="en-US" w:eastAsia="zh-CN" w:bidi="ar"/>
              </w:rPr>
            </w:pPr>
          </w:p>
          <w:p w14:paraId="1768422F">
            <w:pPr>
              <w:keepNext w:val="0"/>
              <w:keepLines w:val="0"/>
              <w:widowControl/>
              <w:suppressLineNumbers w:val="0"/>
              <w:jc w:val="left"/>
              <w:textAlignment w:val="center"/>
              <w:rPr>
                <w:rStyle w:val="13"/>
                <w:lang w:val="en-US" w:eastAsia="zh-CN" w:bidi="ar"/>
              </w:rPr>
            </w:pPr>
            <w:r>
              <w:rPr>
                <w:rStyle w:val="13"/>
                <w:lang w:val="en-US" w:eastAsia="zh-CN" w:bidi="ar"/>
              </w:rPr>
              <w:t>重点支出安排率</w:t>
            </w:r>
            <w:r>
              <w:rPr>
                <w:rStyle w:val="14"/>
                <w:rFonts w:eastAsia="宋体"/>
                <w:lang w:val="en-US" w:eastAsia="zh-CN" w:bidi="ar"/>
              </w:rPr>
              <w:t>=</w:t>
            </w:r>
            <w:r>
              <w:rPr>
                <w:rStyle w:val="13"/>
                <w:lang w:val="en-US" w:eastAsia="zh-CN" w:bidi="ar"/>
              </w:rPr>
              <w:t>（重点实际支出</w:t>
            </w:r>
            <w:r>
              <w:rPr>
                <w:rStyle w:val="14"/>
                <w:rFonts w:eastAsia="宋体"/>
                <w:lang w:val="en-US" w:eastAsia="zh-CN" w:bidi="ar"/>
              </w:rPr>
              <w:t>/</w:t>
            </w:r>
            <w:r>
              <w:rPr>
                <w:rStyle w:val="13"/>
                <w:lang w:val="en-US" w:eastAsia="zh-CN" w:bidi="ar"/>
              </w:rPr>
              <w:t>重点预算支出）</w:t>
            </w:r>
            <w:r>
              <w:rPr>
                <w:rStyle w:val="14"/>
                <w:rFonts w:eastAsia="宋体"/>
                <w:lang w:val="en-US" w:eastAsia="zh-CN" w:bidi="ar"/>
              </w:rPr>
              <w:t>×100%</w:t>
            </w:r>
            <w:r>
              <w:rPr>
                <w:rStyle w:val="13"/>
                <w:lang w:val="en-US" w:eastAsia="zh-CN" w:bidi="ar"/>
              </w:rPr>
              <w:t>。重点预算支出：部门年度预算安排的，与本部门履职和发展密切相关、具有明显社会和经济影响、党委政府关心或社会比较关注的预算支出支出总额。该指标参考部门年度项目支出及其预算。</w:t>
            </w:r>
          </w:p>
          <w:p w14:paraId="6E5F7FE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Style w:val="13"/>
                <w:lang w:val="en-US" w:eastAsia="zh-CN" w:bidi="ar"/>
              </w:rPr>
              <w:t>该项得分</w:t>
            </w:r>
            <w:r>
              <w:rPr>
                <w:rStyle w:val="14"/>
                <w:rFonts w:eastAsia="宋体"/>
                <w:lang w:val="en-US" w:eastAsia="zh-CN" w:bidi="ar"/>
              </w:rPr>
              <w:t>=</w:t>
            </w:r>
            <w:r>
              <w:rPr>
                <w:rStyle w:val="13"/>
                <w:lang w:val="en-US" w:eastAsia="zh-CN" w:bidi="ar"/>
              </w:rPr>
              <w:t>安排率</w:t>
            </w:r>
            <w:r>
              <w:rPr>
                <w:rStyle w:val="14"/>
                <w:rFonts w:eastAsia="宋体"/>
                <w:lang w:val="en-US" w:eastAsia="zh-CN" w:bidi="ar"/>
              </w:rPr>
              <w:t>×2</w:t>
            </w:r>
            <w:r>
              <w:rPr>
                <w:rStyle w:val="13"/>
                <w:lang w:val="en-US" w:eastAsia="zh-CN" w:bidi="ar"/>
              </w:rPr>
              <w:t>分。每超出</w:t>
            </w:r>
            <w:r>
              <w:rPr>
                <w:rStyle w:val="14"/>
                <w:rFonts w:eastAsia="宋体"/>
                <w:lang w:val="en-US" w:eastAsia="zh-CN" w:bidi="ar"/>
              </w:rPr>
              <w:t>5</w:t>
            </w:r>
            <w:r>
              <w:rPr>
                <w:rStyle w:val="13"/>
                <w:lang w:val="en-US" w:eastAsia="zh-CN" w:bidi="ar"/>
              </w:rPr>
              <w:t>%扣</w:t>
            </w:r>
            <w:r>
              <w:rPr>
                <w:rStyle w:val="14"/>
                <w:rFonts w:eastAsia="宋体"/>
                <w:lang w:val="en-US" w:eastAsia="zh-CN" w:bidi="ar"/>
              </w:rPr>
              <w:t>0.5</w:t>
            </w:r>
            <w:r>
              <w:rPr>
                <w:rStyle w:val="13"/>
                <w:lang w:val="en-US" w:eastAsia="zh-CN" w:bidi="ar"/>
              </w:rPr>
              <w:t>分，扣完为止。</w:t>
            </w:r>
          </w:p>
        </w:tc>
        <w:tc>
          <w:tcPr>
            <w:tcW w:w="2115" w:type="dxa"/>
            <w:tcBorders>
              <w:tl2br w:val="nil"/>
              <w:tr2bl w:val="nil"/>
            </w:tcBorders>
            <w:noWrap w:val="0"/>
            <w:vAlign w:val="center"/>
          </w:tcPr>
          <w:p w14:paraId="76127EC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财政部门批复的本年度部门（单位）预算；本年度部门（单位）决算报表。</w:t>
            </w:r>
          </w:p>
        </w:tc>
        <w:tc>
          <w:tcPr>
            <w:tcW w:w="586" w:type="dxa"/>
            <w:tcBorders>
              <w:tl2br w:val="nil"/>
              <w:tr2bl w:val="nil"/>
            </w:tcBorders>
            <w:noWrap w:val="0"/>
            <w:vAlign w:val="center"/>
          </w:tcPr>
          <w:p w14:paraId="00FEA18E">
            <w:pPr>
              <w:jc w:val="left"/>
              <w:rPr>
                <w:rFonts w:hint="eastAsia" w:ascii="Times New Roman" w:hAnsi="Times New Roman" w:eastAsia="宋体" w:cs="Times New Roman"/>
                <w:i w:val="0"/>
                <w:iCs w:val="0"/>
                <w:color w:val="000000"/>
                <w:sz w:val="18"/>
                <w:szCs w:val="18"/>
                <w:u w:val="none"/>
                <w:lang w:val="en-US" w:eastAsia="zh-CN"/>
              </w:rPr>
            </w:pPr>
            <w:r>
              <w:rPr>
                <w:rFonts w:hint="eastAsia" w:ascii="Times New Roman" w:hAnsi="Times New Roman" w:cs="Times New Roman"/>
                <w:i w:val="0"/>
                <w:iCs w:val="0"/>
                <w:color w:val="000000"/>
                <w:sz w:val="18"/>
                <w:szCs w:val="18"/>
                <w:u w:val="none"/>
                <w:lang w:val="en-US" w:eastAsia="zh-CN"/>
              </w:rPr>
              <w:t>2</w:t>
            </w:r>
          </w:p>
        </w:tc>
      </w:tr>
      <w:tr w14:paraId="3FFD3E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0" w:hRule="atLeast"/>
          <w:jc w:val="center"/>
        </w:trPr>
        <w:tc>
          <w:tcPr>
            <w:tcW w:w="873" w:type="dxa"/>
            <w:vMerge w:val="continue"/>
            <w:tcBorders>
              <w:tl2br w:val="nil"/>
              <w:tr2bl w:val="nil"/>
            </w:tcBorders>
            <w:noWrap w:val="0"/>
            <w:vAlign w:val="center"/>
          </w:tcPr>
          <w:p w14:paraId="3E9C5C77">
            <w:pPr>
              <w:jc w:val="center"/>
              <w:rPr>
                <w:rFonts w:hint="eastAsia" w:ascii="宋体" w:hAnsi="宋体" w:eastAsia="宋体" w:cs="宋体"/>
                <w:i w:val="0"/>
                <w:iCs w:val="0"/>
                <w:color w:val="000000"/>
                <w:sz w:val="18"/>
                <w:szCs w:val="18"/>
                <w:u w:val="none"/>
              </w:rPr>
            </w:pPr>
          </w:p>
        </w:tc>
        <w:tc>
          <w:tcPr>
            <w:tcW w:w="870" w:type="dxa"/>
            <w:vMerge w:val="continue"/>
            <w:tcBorders>
              <w:tl2br w:val="nil"/>
              <w:tr2bl w:val="nil"/>
            </w:tcBorders>
            <w:noWrap w:val="0"/>
            <w:vAlign w:val="center"/>
          </w:tcPr>
          <w:p w14:paraId="71B004AC">
            <w:pPr>
              <w:jc w:val="center"/>
              <w:rPr>
                <w:rFonts w:hint="eastAsia" w:ascii="宋体" w:hAnsi="宋体" w:eastAsia="宋体" w:cs="宋体"/>
                <w:i w:val="0"/>
                <w:iCs w:val="0"/>
                <w:color w:val="000000"/>
                <w:sz w:val="18"/>
                <w:szCs w:val="18"/>
                <w:u w:val="none"/>
              </w:rPr>
            </w:pPr>
          </w:p>
        </w:tc>
        <w:tc>
          <w:tcPr>
            <w:tcW w:w="1050" w:type="dxa"/>
            <w:tcBorders>
              <w:tl2br w:val="nil"/>
              <w:tr2bl w:val="nil"/>
            </w:tcBorders>
            <w:noWrap w:val="0"/>
            <w:vAlign w:val="center"/>
          </w:tcPr>
          <w:p w14:paraId="26E4F2E8">
            <w:pPr>
              <w:keepNext w:val="0"/>
              <w:keepLines w:val="0"/>
              <w:widowControl/>
              <w:suppressLineNumbers w:val="0"/>
              <w:jc w:val="center"/>
              <w:textAlignment w:val="center"/>
              <w:rPr>
                <w:rStyle w:val="13"/>
                <w:lang w:val="en-US" w:eastAsia="zh-CN" w:bidi="ar"/>
              </w:rPr>
            </w:pPr>
            <w:r>
              <w:rPr>
                <w:rStyle w:val="13"/>
                <w:lang w:val="en-US" w:eastAsia="zh-CN" w:bidi="ar"/>
              </w:rPr>
              <w:t>非税</w:t>
            </w:r>
          </w:p>
          <w:p w14:paraId="55524FF5">
            <w:pPr>
              <w:keepNext w:val="0"/>
              <w:keepLines w:val="0"/>
              <w:widowControl/>
              <w:suppressLineNumbers w:val="0"/>
              <w:jc w:val="center"/>
              <w:textAlignment w:val="center"/>
              <w:rPr>
                <w:rStyle w:val="13"/>
                <w:lang w:val="en-US" w:eastAsia="zh-CN" w:bidi="ar"/>
              </w:rPr>
            </w:pPr>
            <w:r>
              <w:rPr>
                <w:rStyle w:val="13"/>
                <w:lang w:val="en-US" w:eastAsia="zh-CN" w:bidi="ar"/>
              </w:rPr>
              <w:t>收入</w:t>
            </w:r>
          </w:p>
          <w:p w14:paraId="3CB4F0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安排率</w:t>
            </w:r>
          </w:p>
        </w:tc>
        <w:tc>
          <w:tcPr>
            <w:tcW w:w="495" w:type="dxa"/>
            <w:tcBorders>
              <w:tl2br w:val="nil"/>
              <w:tr2bl w:val="nil"/>
            </w:tcBorders>
            <w:noWrap w:val="0"/>
            <w:vAlign w:val="center"/>
          </w:tcPr>
          <w:p w14:paraId="0F763FD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70" w:type="dxa"/>
            <w:tcBorders>
              <w:tl2br w:val="nil"/>
              <w:tr2bl w:val="nil"/>
            </w:tcBorders>
            <w:noWrap w:val="0"/>
            <w:vAlign w:val="center"/>
          </w:tcPr>
          <w:p w14:paraId="78F2FD9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反映部门本年度非税收入完成情况。</w:t>
            </w:r>
          </w:p>
        </w:tc>
        <w:tc>
          <w:tcPr>
            <w:tcW w:w="5112" w:type="dxa"/>
            <w:tcBorders>
              <w:tl2br w:val="nil"/>
              <w:tr2bl w:val="nil"/>
            </w:tcBorders>
            <w:noWrap w:val="0"/>
            <w:vAlign w:val="center"/>
          </w:tcPr>
          <w:p w14:paraId="793EBB7F">
            <w:pPr>
              <w:keepNext w:val="0"/>
              <w:keepLines w:val="0"/>
              <w:widowControl/>
              <w:suppressLineNumbers w:val="0"/>
              <w:jc w:val="left"/>
              <w:textAlignment w:val="center"/>
              <w:rPr>
                <w:rStyle w:val="13"/>
                <w:lang w:val="en-US" w:eastAsia="zh-CN" w:bidi="ar"/>
              </w:rPr>
            </w:pPr>
          </w:p>
          <w:p w14:paraId="22CFB35B">
            <w:pPr>
              <w:keepNext w:val="0"/>
              <w:keepLines w:val="0"/>
              <w:widowControl/>
              <w:suppressLineNumbers w:val="0"/>
              <w:jc w:val="left"/>
              <w:textAlignment w:val="center"/>
              <w:rPr>
                <w:rStyle w:val="13"/>
                <w:lang w:val="en-US" w:eastAsia="zh-CN" w:bidi="ar"/>
              </w:rPr>
            </w:pPr>
            <w:r>
              <w:rPr>
                <w:rStyle w:val="13"/>
                <w:lang w:val="en-US" w:eastAsia="zh-CN" w:bidi="ar"/>
              </w:rPr>
              <w:t>非税收入完成率</w:t>
            </w:r>
            <w:r>
              <w:rPr>
                <w:rStyle w:val="14"/>
                <w:rFonts w:eastAsia="宋体"/>
                <w:lang w:val="en-US" w:eastAsia="zh-CN" w:bidi="ar"/>
              </w:rPr>
              <w:t>=</w:t>
            </w:r>
            <w:r>
              <w:rPr>
                <w:rStyle w:val="13"/>
                <w:lang w:val="en-US" w:eastAsia="zh-CN" w:bidi="ar"/>
              </w:rPr>
              <w:t>（非税实际收入完成数</w:t>
            </w:r>
            <w:r>
              <w:rPr>
                <w:rStyle w:val="14"/>
                <w:rFonts w:eastAsia="宋体"/>
                <w:lang w:val="en-US" w:eastAsia="zh-CN" w:bidi="ar"/>
              </w:rPr>
              <w:t>/</w:t>
            </w:r>
            <w:r>
              <w:rPr>
                <w:rStyle w:val="13"/>
                <w:lang w:val="en-US" w:eastAsia="zh-CN" w:bidi="ar"/>
              </w:rPr>
              <w:t>非税收入预算数）</w:t>
            </w:r>
            <w:r>
              <w:rPr>
                <w:rStyle w:val="14"/>
                <w:rFonts w:eastAsia="宋体"/>
                <w:lang w:val="en-US" w:eastAsia="zh-CN" w:bidi="ar"/>
              </w:rPr>
              <w:t>×100%</w:t>
            </w:r>
            <w:r>
              <w:rPr>
                <w:rStyle w:val="13"/>
                <w:lang w:val="en-US" w:eastAsia="zh-CN" w:bidi="ar"/>
              </w:rPr>
              <w:t>，有减免因素的，以财政事务中心确定的为准。</w:t>
            </w:r>
          </w:p>
          <w:p w14:paraId="1F62C90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该项得分</w:t>
            </w:r>
            <w:r>
              <w:rPr>
                <w:rStyle w:val="14"/>
                <w:rFonts w:eastAsia="宋体"/>
                <w:lang w:val="en-US" w:eastAsia="zh-CN" w:bidi="ar"/>
              </w:rPr>
              <w:t>=</w:t>
            </w:r>
            <w:r>
              <w:rPr>
                <w:rStyle w:val="13"/>
                <w:lang w:val="en-US" w:eastAsia="zh-CN" w:bidi="ar"/>
              </w:rPr>
              <w:t>完成率</w:t>
            </w:r>
            <w:r>
              <w:rPr>
                <w:rStyle w:val="14"/>
                <w:rFonts w:eastAsia="宋体"/>
                <w:lang w:val="en-US" w:eastAsia="zh-CN" w:bidi="ar"/>
              </w:rPr>
              <w:t>×1</w:t>
            </w:r>
            <w:r>
              <w:rPr>
                <w:rStyle w:val="13"/>
                <w:lang w:val="en-US" w:eastAsia="zh-CN" w:bidi="ar"/>
              </w:rPr>
              <w:t>分。</w:t>
            </w:r>
          </w:p>
        </w:tc>
        <w:tc>
          <w:tcPr>
            <w:tcW w:w="2115" w:type="dxa"/>
            <w:tcBorders>
              <w:tl2br w:val="nil"/>
              <w:tr2bl w:val="nil"/>
            </w:tcBorders>
            <w:noWrap w:val="0"/>
            <w:vAlign w:val="center"/>
          </w:tcPr>
          <w:p w14:paraId="6A1889E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财政部门批复的本年度部门（单位）预算；本年度部门（单位）决算报表。</w:t>
            </w:r>
          </w:p>
        </w:tc>
        <w:tc>
          <w:tcPr>
            <w:tcW w:w="586" w:type="dxa"/>
            <w:tcBorders>
              <w:tl2br w:val="nil"/>
              <w:tr2bl w:val="nil"/>
            </w:tcBorders>
            <w:noWrap w:val="0"/>
            <w:vAlign w:val="center"/>
          </w:tcPr>
          <w:p w14:paraId="63C25A2C">
            <w:pPr>
              <w:jc w:val="left"/>
              <w:rPr>
                <w:rFonts w:hint="eastAsia" w:ascii="Times New Roman" w:hAnsi="Times New Roman" w:eastAsia="宋体" w:cs="Times New Roman"/>
                <w:i w:val="0"/>
                <w:iCs w:val="0"/>
                <w:color w:val="000000"/>
                <w:sz w:val="18"/>
                <w:szCs w:val="18"/>
                <w:u w:val="none"/>
                <w:lang w:val="en-US" w:eastAsia="zh-CN"/>
              </w:rPr>
            </w:pPr>
            <w:r>
              <w:rPr>
                <w:rFonts w:hint="eastAsia" w:ascii="Times New Roman" w:hAnsi="Times New Roman" w:cs="Times New Roman"/>
                <w:i w:val="0"/>
                <w:iCs w:val="0"/>
                <w:color w:val="000000"/>
                <w:sz w:val="18"/>
                <w:szCs w:val="18"/>
                <w:u w:val="none"/>
                <w:lang w:val="en-US" w:eastAsia="zh-CN"/>
              </w:rPr>
              <w:t>1</w:t>
            </w:r>
          </w:p>
        </w:tc>
      </w:tr>
      <w:tr w14:paraId="7C1342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85" w:hRule="atLeast"/>
          <w:jc w:val="center"/>
        </w:trPr>
        <w:tc>
          <w:tcPr>
            <w:tcW w:w="873" w:type="dxa"/>
            <w:vMerge w:val="restart"/>
            <w:tcBorders>
              <w:tl2br w:val="nil"/>
              <w:tr2bl w:val="nil"/>
            </w:tcBorders>
            <w:noWrap w:val="0"/>
            <w:vAlign w:val="center"/>
          </w:tcPr>
          <w:p w14:paraId="1CB102FC">
            <w:pPr>
              <w:keepNext w:val="0"/>
              <w:keepLines w:val="0"/>
              <w:widowControl/>
              <w:suppressLineNumbers w:val="0"/>
              <w:jc w:val="center"/>
              <w:textAlignment w:val="center"/>
              <w:rPr>
                <w:rStyle w:val="13"/>
                <w:lang w:val="en-US" w:eastAsia="zh-CN" w:bidi="ar"/>
              </w:rPr>
            </w:pPr>
            <w:r>
              <w:rPr>
                <w:rStyle w:val="13"/>
                <w:lang w:val="en-US" w:eastAsia="zh-CN" w:bidi="ar"/>
              </w:rPr>
              <w:t>过程</w:t>
            </w:r>
          </w:p>
          <w:p w14:paraId="75BF15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13"/>
                <w:lang w:val="en-US" w:eastAsia="zh-CN" w:bidi="ar"/>
              </w:rPr>
              <w:t>（</w:t>
            </w:r>
            <w:r>
              <w:rPr>
                <w:rStyle w:val="14"/>
                <w:rFonts w:eastAsia="宋体"/>
                <w:lang w:val="en-US" w:eastAsia="zh-CN" w:bidi="ar"/>
              </w:rPr>
              <w:t>47</w:t>
            </w:r>
            <w:r>
              <w:rPr>
                <w:rStyle w:val="13"/>
                <w:lang w:val="en-US" w:eastAsia="zh-CN" w:bidi="ar"/>
              </w:rPr>
              <w:t>分）</w:t>
            </w:r>
          </w:p>
        </w:tc>
        <w:tc>
          <w:tcPr>
            <w:tcW w:w="870" w:type="dxa"/>
            <w:vMerge w:val="restart"/>
            <w:tcBorders>
              <w:tl2br w:val="nil"/>
              <w:tr2bl w:val="nil"/>
            </w:tcBorders>
            <w:noWrap w:val="0"/>
            <w:vAlign w:val="center"/>
          </w:tcPr>
          <w:p w14:paraId="4CFC9784">
            <w:pPr>
              <w:keepNext w:val="0"/>
              <w:keepLines w:val="0"/>
              <w:widowControl/>
              <w:suppressLineNumbers w:val="0"/>
              <w:jc w:val="center"/>
              <w:textAlignment w:val="center"/>
              <w:rPr>
                <w:rStyle w:val="13"/>
                <w:lang w:val="en-US" w:eastAsia="zh-CN" w:bidi="ar"/>
              </w:rPr>
            </w:pPr>
            <w:r>
              <w:rPr>
                <w:rStyle w:val="13"/>
                <w:lang w:val="en-US" w:eastAsia="zh-CN" w:bidi="ar"/>
              </w:rPr>
              <w:t>预算</w:t>
            </w:r>
          </w:p>
          <w:p w14:paraId="5CD5DF2A">
            <w:pPr>
              <w:keepNext w:val="0"/>
              <w:keepLines w:val="0"/>
              <w:widowControl/>
              <w:suppressLineNumbers w:val="0"/>
              <w:jc w:val="center"/>
              <w:textAlignment w:val="center"/>
              <w:rPr>
                <w:rStyle w:val="13"/>
                <w:lang w:val="en-US" w:eastAsia="zh-CN" w:bidi="ar"/>
              </w:rPr>
            </w:pPr>
            <w:r>
              <w:rPr>
                <w:rStyle w:val="13"/>
                <w:lang w:val="en-US" w:eastAsia="zh-CN" w:bidi="ar"/>
              </w:rPr>
              <w:t>执行</w:t>
            </w:r>
          </w:p>
          <w:p w14:paraId="2AA411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14"/>
                <w:rFonts w:eastAsia="宋体"/>
                <w:lang w:val="en-US" w:eastAsia="zh-CN" w:bidi="ar"/>
              </w:rPr>
              <w:t>(13</w:t>
            </w:r>
            <w:r>
              <w:rPr>
                <w:rStyle w:val="13"/>
                <w:lang w:val="en-US" w:eastAsia="zh-CN" w:bidi="ar"/>
              </w:rPr>
              <w:t>分）</w:t>
            </w:r>
          </w:p>
        </w:tc>
        <w:tc>
          <w:tcPr>
            <w:tcW w:w="1050" w:type="dxa"/>
            <w:tcBorders>
              <w:tl2br w:val="nil"/>
              <w:tr2bl w:val="nil"/>
            </w:tcBorders>
            <w:noWrap w:val="0"/>
            <w:vAlign w:val="center"/>
          </w:tcPr>
          <w:p w14:paraId="384A7BD5">
            <w:pPr>
              <w:keepNext w:val="0"/>
              <w:keepLines w:val="0"/>
              <w:widowControl/>
              <w:suppressLineNumbers w:val="0"/>
              <w:jc w:val="center"/>
              <w:textAlignment w:val="center"/>
              <w:rPr>
                <w:rStyle w:val="13"/>
                <w:lang w:val="en-US" w:eastAsia="zh-CN" w:bidi="ar"/>
              </w:rPr>
            </w:pPr>
            <w:r>
              <w:rPr>
                <w:rStyle w:val="13"/>
                <w:lang w:val="en-US" w:eastAsia="zh-CN" w:bidi="ar"/>
              </w:rPr>
              <w:t>预算</w:t>
            </w:r>
          </w:p>
          <w:p w14:paraId="5C0347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执行率</w:t>
            </w:r>
          </w:p>
        </w:tc>
        <w:tc>
          <w:tcPr>
            <w:tcW w:w="495" w:type="dxa"/>
            <w:tcBorders>
              <w:tl2br w:val="nil"/>
              <w:tr2bl w:val="nil"/>
            </w:tcBorders>
            <w:noWrap w:val="0"/>
            <w:vAlign w:val="center"/>
          </w:tcPr>
          <w:p w14:paraId="5168ECC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2570" w:type="dxa"/>
            <w:tcBorders>
              <w:tl2br w:val="nil"/>
              <w:tr2bl w:val="nil"/>
            </w:tcBorders>
            <w:noWrap w:val="0"/>
            <w:vAlign w:val="center"/>
          </w:tcPr>
          <w:p w14:paraId="790014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部门（单位）本年度预算完成数与预算数的比率，用以反映和考核部门（单位）预算完成程度；部门（单位）本年度对项目支出绩效监控情况。</w:t>
            </w:r>
          </w:p>
        </w:tc>
        <w:tc>
          <w:tcPr>
            <w:tcW w:w="5112" w:type="dxa"/>
            <w:tcBorders>
              <w:tl2br w:val="nil"/>
              <w:tr2bl w:val="nil"/>
            </w:tcBorders>
            <w:noWrap w:val="0"/>
            <w:vAlign w:val="center"/>
          </w:tcPr>
          <w:p w14:paraId="100C085B">
            <w:pPr>
              <w:keepNext w:val="0"/>
              <w:keepLines w:val="0"/>
              <w:widowControl/>
              <w:suppressLineNumbers w:val="0"/>
              <w:jc w:val="left"/>
              <w:textAlignment w:val="center"/>
              <w:rPr>
                <w:rStyle w:val="13"/>
                <w:lang w:val="en-US" w:eastAsia="zh-CN" w:bidi="ar"/>
              </w:rPr>
            </w:pPr>
          </w:p>
          <w:p w14:paraId="2039FFE6">
            <w:pPr>
              <w:keepNext w:val="0"/>
              <w:keepLines w:val="0"/>
              <w:widowControl/>
              <w:suppressLineNumbers w:val="0"/>
              <w:jc w:val="left"/>
              <w:textAlignment w:val="center"/>
              <w:rPr>
                <w:rStyle w:val="13"/>
                <w:lang w:val="en-US" w:eastAsia="zh-CN" w:bidi="ar"/>
              </w:rPr>
            </w:pPr>
            <w:r>
              <w:rPr>
                <w:rStyle w:val="13"/>
                <w:lang w:val="en-US" w:eastAsia="zh-CN" w:bidi="ar"/>
              </w:rPr>
              <w:t>①预算执行率</w:t>
            </w:r>
            <w:r>
              <w:rPr>
                <w:rStyle w:val="14"/>
                <w:rFonts w:eastAsia="宋体"/>
                <w:lang w:val="en-US" w:eastAsia="zh-CN" w:bidi="ar"/>
              </w:rPr>
              <w:t>=</w:t>
            </w:r>
            <w:r>
              <w:rPr>
                <w:rStyle w:val="13"/>
                <w:lang w:val="en-US" w:eastAsia="zh-CN" w:bidi="ar"/>
              </w:rPr>
              <w:t>（预算完成数</w:t>
            </w:r>
            <w:r>
              <w:rPr>
                <w:rStyle w:val="14"/>
                <w:rFonts w:eastAsia="宋体"/>
                <w:lang w:val="en-US" w:eastAsia="zh-CN" w:bidi="ar"/>
              </w:rPr>
              <w:t>/</w:t>
            </w:r>
            <w:r>
              <w:rPr>
                <w:rStyle w:val="13"/>
                <w:lang w:val="en-US" w:eastAsia="zh-CN" w:bidi="ar"/>
              </w:rPr>
              <w:t>预算数）</w:t>
            </w:r>
            <w:r>
              <w:rPr>
                <w:rStyle w:val="14"/>
                <w:rFonts w:eastAsia="宋体"/>
                <w:lang w:val="en-US" w:eastAsia="zh-CN" w:bidi="ar"/>
              </w:rPr>
              <w:t>×100%</w:t>
            </w:r>
            <w:r>
              <w:rPr>
                <w:rStyle w:val="13"/>
                <w:lang w:val="en-US" w:eastAsia="zh-CN" w:bidi="ar"/>
              </w:rPr>
              <w:t>。</w:t>
            </w:r>
          </w:p>
          <w:p w14:paraId="148A60EC">
            <w:pPr>
              <w:keepNext w:val="0"/>
              <w:keepLines w:val="0"/>
              <w:widowControl/>
              <w:suppressLineNumbers w:val="0"/>
              <w:jc w:val="left"/>
              <w:textAlignment w:val="center"/>
              <w:rPr>
                <w:rStyle w:val="13"/>
                <w:lang w:val="en-US" w:eastAsia="zh-CN" w:bidi="ar"/>
              </w:rPr>
            </w:pPr>
            <w:r>
              <w:rPr>
                <w:rStyle w:val="13"/>
                <w:lang w:val="en-US" w:eastAsia="zh-CN" w:bidi="ar"/>
              </w:rPr>
              <w:t>预算执行数：部门（单位）本年度实际完成的预算数。</w:t>
            </w:r>
          </w:p>
          <w:p w14:paraId="2756A231">
            <w:pPr>
              <w:keepNext w:val="0"/>
              <w:keepLines w:val="0"/>
              <w:widowControl/>
              <w:suppressLineNumbers w:val="0"/>
              <w:jc w:val="left"/>
              <w:textAlignment w:val="center"/>
              <w:rPr>
                <w:rStyle w:val="13"/>
                <w:lang w:val="en-US" w:eastAsia="zh-CN" w:bidi="ar"/>
              </w:rPr>
            </w:pPr>
            <w:r>
              <w:rPr>
                <w:rStyle w:val="13"/>
                <w:lang w:val="en-US" w:eastAsia="zh-CN" w:bidi="ar"/>
              </w:rPr>
              <w:t>预算数：财政部门批复的本年度部门（单位）预算数及追加的预算数。</w:t>
            </w:r>
          </w:p>
          <w:p w14:paraId="44039506">
            <w:pPr>
              <w:keepNext w:val="0"/>
              <w:keepLines w:val="0"/>
              <w:widowControl/>
              <w:suppressLineNumbers w:val="0"/>
              <w:jc w:val="left"/>
              <w:textAlignment w:val="center"/>
              <w:rPr>
                <w:rStyle w:val="13"/>
                <w:lang w:val="en-US" w:eastAsia="zh-CN" w:bidi="ar"/>
              </w:rPr>
            </w:pPr>
            <w:r>
              <w:rPr>
                <w:rStyle w:val="13"/>
                <w:lang w:val="en-US" w:eastAsia="zh-CN" w:bidi="ar"/>
              </w:rPr>
              <w:t>该项得分，全年预算执行率</w:t>
            </w:r>
            <w:r>
              <w:rPr>
                <w:rStyle w:val="14"/>
                <w:rFonts w:eastAsia="宋体"/>
                <w:lang w:val="en-US" w:eastAsia="zh-CN" w:bidi="ar"/>
              </w:rPr>
              <w:t>95%</w:t>
            </w:r>
            <w:r>
              <w:rPr>
                <w:rStyle w:val="13"/>
                <w:lang w:val="en-US" w:eastAsia="zh-CN" w:bidi="ar"/>
              </w:rPr>
              <w:t>以上计</w:t>
            </w:r>
            <w:r>
              <w:rPr>
                <w:rStyle w:val="14"/>
                <w:rFonts w:eastAsia="宋体"/>
                <w:lang w:val="en-US" w:eastAsia="zh-CN" w:bidi="ar"/>
              </w:rPr>
              <w:t>2</w:t>
            </w:r>
            <w:r>
              <w:rPr>
                <w:rStyle w:val="13"/>
                <w:lang w:val="en-US" w:eastAsia="zh-CN" w:bidi="ar"/>
              </w:rPr>
              <w:t>分，</w:t>
            </w:r>
            <w:r>
              <w:rPr>
                <w:rStyle w:val="14"/>
                <w:rFonts w:eastAsia="宋体"/>
                <w:lang w:val="en-US" w:eastAsia="zh-CN" w:bidi="ar"/>
              </w:rPr>
              <w:t>95-90%</w:t>
            </w:r>
            <w:r>
              <w:rPr>
                <w:rStyle w:val="13"/>
                <w:lang w:val="en-US" w:eastAsia="zh-CN" w:bidi="ar"/>
              </w:rPr>
              <w:t>（含），计</w:t>
            </w:r>
            <w:r>
              <w:rPr>
                <w:rStyle w:val="14"/>
                <w:rFonts w:eastAsia="宋体"/>
                <w:lang w:val="en-US" w:eastAsia="zh-CN" w:bidi="ar"/>
              </w:rPr>
              <w:t>1</w:t>
            </w:r>
            <w:r>
              <w:rPr>
                <w:rStyle w:val="13"/>
                <w:lang w:val="en-US" w:eastAsia="zh-CN" w:bidi="ar"/>
              </w:rPr>
              <w:t>分，</w:t>
            </w:r>
            <w:r>
              <w:rPr>
                <w:rStyle w:val="14"/>
                <w:rFonts w:eastAsia="宋体"/>
                <w:lang w:val="en-US" w:eastAsia="zh-CN" w:bidi="ar"/>
              </w:rPr>
              <w:t>90-80%</w:t>
            </w:r>
            <w:r>
              <w:rPr>
                <w:rStyle w:val="13"/>
                <w:lang w:val="en-US" w:eastAsia="zh-CN" w:bidi="ar"/>
              </w:rPr>
              <w:t>（含），计</w:t>
            </w:r>
            <w:r>
              <w:rPr>
                <w:rStyle w:val="14"/>
                <w:rFonts w:eastAsia="宋体"/>
                <w:lang w:val="en-US" w:eastAsia="zh-CN" w:bidi="ar"/>
              </w:rPr>
              <w:t>0.5</w:t>
            </w:r>
            <w:r>
              <w:rPr>
                <w:rStyle w:val="13"/>
                <w:lang w:val="en-US" w:eastAsia="zh-CN" w:bidi="ar"/>
              </w:rPr>
              <w:t>分，小于</w:t>
            </w:r>
            <w:r>
              <w:rPr>
                <w:rStyle w:val="14"/>
                <w:rFonts w:eastAsia="宋体"/>
                <w:lang w:val="en-US" w:eastAsia="zh-CN" w:bidi="ar"/>
              </w:rPr>
              <w:t>80%</w:t>
            </w:r>
            <w:r>
              <w:rPr>
                <w:rStyle w:val="13"/>
                <w:lang w:val="en-US" w:eastAsia="zh-CN" w:bidi="ar"/>
              </w:rPr>
              <w:t>不得分；</w:t>
            </w:r>
          </w:p>
          <w:p w14:paraId="39336B95">
            <w:pPr>
              <w:keepNext w:val="0"/>
              <w:keepLines w:val="0"/>
              <w:widowControl/>
              <w:suppressLineNumbers w:val="0"/>
              <w:jc w:val="left"/>
              <w:textAlignment w:val="center"/>
              <w:rPr>
                <w:rStyle w:val="13"/>
                <w:lang w:val="en-US" w:eastAsia="zh-CN" w:bidi="ar"/>
              </w:rPr>
            </w:pPr>
            <w:r>
              <w:rPr>
                <w:rStyle w:val="13"/>
                <w:lang w:val="en-US" w:eastAsia="zh-CN" w:bidi="ar"/>
              </w:rPr>
              <w:t>②绩效目标执行监控是否按要求完成。</w:t>
            </w:r>
          </w:p>
          <w:p w14:paraId="3861D4F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该项得分，实施项目资金运行监控的得</w:t>
            </w:r>
            <w:r>
              <w:rPr>
                <w:rStyle w:val="14"/>
                <w:rFonts w:eastAsia="宋体"/>
                <w:lang w:val="en-US" w:eastAsia="zh-CN" w:bidi="ar"/>
              </w:rPr>
              <w:t>2</w:t>
            </w:r>
            <w:r>
              <w:rPr>
                <w:rStyle w:val="13"/>
                <w:lang w:val="en-US" w:eastAsia="zh-CN" w:bidi="ar"/>
              </w:rPr>
              <w:t>分，未实施的不得分。</w:t>
            </w:r>
          </w:p>
        </w:tc>
        <w:tc>
          <w:tcPr>
            <w:tcW w:w="2115" w:type="dxa"/>
            <w:tcBorders>
              <w:tl2br w:val="nil"/>
              <w:tr2bl w:val="nil"/>
            </w:tcBorders>
            <w:noWrap w:val="0"/>
            <w:vAlign w:val="center"/>
          </w:tcPr>
          <w:p w14:paraId="774693E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财政部门批复的本年度部门（单位）预算；本年度部门（单位）决算报表；部门年度预算执行查询表；项目支出绩效运行监控表；项目支出绩效运行监控报告。</w:t>
            </w:r>
          </w:p>
        </w:tc>
        <w:tc>
          <w:tcPr>
            <w:tcW w:w="586" w:type="dxa"/>
            <w:tcBorders>
              <w:tl2br w:val="nil"/>
              <w:tr2bl w:val="nil"/>
            </w:tcBorders>
            <w:noWrap w:val="0"/>
            <w:vAlign w:val="center"/>
          </w:tcPr>
          <w:p w14:paraId="7F88E4E9">
            <w:pPr>
              <w:jc w:val="left"/>
              <w:rPr>
                <w:rFonts w:hint="default" w:ascii="Times New Roman" w:hAnsi="Times New Roman" w:eastAsia="宋体" w:cs="Times New Roman"/>
                <w:i w:val="0"/>
                <w:iCs w:val="0"/>
                <w:color w:val="000000"/>
                <w:sz w:val="18"/>
                <w:szCs w:val="18"/>
                <w:u w:val="none"/>
                <w:lang w:val="en-US" w:eastAsia="zh-CN"/>
              </w:rPr>
            </w:pPr>
            <w:r>
              <w:rPr>
                <w:rFonts w:hint="eastAsia" w:ascii="Times New Roman" w:hAnsi="Times New Roman" w:cs="Times New Roman"/>
                <w:i w:val="0"/>
                <w:iCs w:val="0"/>
                <w:color w:val="000000"/>
                <w:sz w:val="18"/>
                <w:szCs w:val="18"/>
                <w:u w:val="none"/>
                <w:lang w:val="en-US" w:eastAsia="zh-CN"/>
              </w:rPr>
              <w:t>4</w:t>
            </w:r>
          </w:p>
        </w:tc>
      </w:tr>
      <w:tr w14:paraId="2C8C1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15" w:hRule="atLeast"/>
          <w:jc w:val="center"/>
        </w:trPr>
        <w:tc>
          <w:tcPr>
            <w:tcW w:w="873" w:type="dxa"/>
            <w:vMerge w:val="continue"/>
            <w:tcBorders>
              <w:tl2br w:val="nil"/>
              <w:tr2bl w:val="nil"/>
            </w:tcBorders>
            <w:noWrap w:val="0"/>
            <w:vAlign w:val="center"/>
          </w:tcPr>
          <w:p w14:paraId="6E1E4E10">
            <w:pPr>
              <w:jc w:val="center"/>
              <w:rPr>
                <w:rFonts w:hint="eastAsia" w:ascii="宋体" w:hAnsi="宋体" w:eastAsia="宋体" w:cs="宋体"/>
                <w:i w:val="0"/>
                <w:iCs w:val="0"/>
                <w:color w:val="000000"/>
                <w:sz w:val="18"/>
                <w:szCs w:val="18"/>
                <w:u w:val="none"/>
              </w:rPr>
            </w:pPr>
          </w:p>
        </w:tc>
        <w:tc>
          <w:tcPr>
            <w:tcW w:w="870" w:type="dxa"/>
            <w:vMerge w:val="continue"/>
            <w:tcBorders>
              <w:tl2br w:val="nil"/>
              <w:tr2bl w:val="nil"/>
            </w:tcBorders>
            <w:noWrap w:val="0"/>
            <w:vAlign w:val="center"/>
          </w:tcPr>
          <w:p w14:paraId="669DD046">
            <w:pPr>
              <w:jc w:val="center"/>
              <w:rPr>
                <w:rFonts w:hint="eastAsia" w:ascii="宋体" w:hAnsi="宋体" w:eastAsia="宋体" w:cs="宋体"/>
                <w:i w:val="0"/>
                <w:iCs w:val="0"/>
                <w:color w:val="000000"/>
                <w:sz w:val="18"/>
                <w:szCs w:val="18"/>
                <w:u w:val="none"/>
              </w:rPr>
            </w:pPr>
          </w:p>
        </w:tc>
        <w:tc>
          <w:tcPr>
            <w:tcW w:w="1050" w:type="dxa"/>
            <w:tcBorders>
              <w:tl2br w:val="nil"/>
              <w:tr2bl w:val="nil"/>
            </w:tcBorders>
            <w:noWrap w:val="0"/>
            <w:vAlign w:val="center"/>
          </w:tcPr>
          <w:p w14:paraId="1B20B6A0">
            <w:pPr>
              <w:keepNext w:val="0"/>
              <w:keepLines w:val="0"/>
              <w:widowControl/>
              <w:suppressLineNumbers w:val="0"/>
              <w:jc w:val="center"/>
              <w:textAlignment w:val="center"/>
              <w:rPr>
                <w:rStyle w:val="13"/>
                <w:lang w:val="en-US" w:eastAsia="zh-CN" w:bidi="ar"/>
              </w:rPr>
            </w:pPr>
            <w:r>
              <w:rPr>
                <w:rStyle w:val="13"/>
                <w:lang w:val="en-US" w:eastAsia="zh-CN" w:bidi="ar"/>
              </w:rPr>
              <w:t>预算</w:t>
            </w:r>
          </w:p>
          <w:p w14:paraId="1219196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调整率</w:t>
            </w:r>
          </w:p>
        </w:tc>
        <w:tc>
          <w:tcPr>
            <w:tcW w:w="495" w:type="dxa"/>
            <w:tcBorders>
              <w:tl2br w:val="nil"/>
              <w:tr2bl w:val="nil"/>
            </w:tcBorders>
            <w:noWrap w:val="0"/>
            <w:vAlign w:val="center"/>
          </w:tcPr>
          <w:p w14:paraId="2A2B565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2570" w:type="dxa"/>
            <w:tcBorders>
              <w:tl2br w:val="nil"/>
              <w:tr2bl w:val="nil"/>
            </w:tcBorders>
            <w:noWrap w:val="0"/>
            <w:vAlign w:val="center"/>
          </w:tcPr>
          <w:p w14:paraId="168A7F5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部门（单位）本年度预算调整数与预算数的比率，用以反映和考核部门（单位）预算的调整程度。</w:t>
            </w:r>
          </w:p>
        </w:tc>
        <w:tc>
          <w:tcPr>
            <w:tcW w:w="5112" w:type="dxa"/>
            <w:tcBorders>
              <w:tl2br w:val="nil"/>
              <w:tr2bl w:val="nil"/>
            </w:tcBorders>
            <w:noWrap w:val="0"/>
            <w:vAlign w:val="center"/>
          </w:tcPr>
          <w:p w14:paraId="2A9EB875">
            <w:pPr>
              <w:keepNext w:val="0"/>
              <w:keepLines w:val="0"/>
              <w:widowControl/>
              <w:suppressLineNumbers w:val="0"/>
              <w:jc w:val="left"/>
              <w:textAlignment w:val="center"/>
              <w:rPr>
                <w:rStyle w:val="13"/>
                <w:lang w:val="en-US" w:eastAsia="zh-CN" w:bidi="ar"/>
              </w:rPr>
            </w:pPr>
          </w:p>
          <w:p w14:paraId="2F375F9A">
            <w:pPr>
              <w:keepNext w:val="0"/>
              <w:keepLines w:val="0"/>
              <w:widowControl/>
              <w:suppressLineNumbers w:val="0"/>
              <w:jc w:val="left"/>
              <w:textAlignment w:val="center"/>
              <w:rPr>
                <w:rStyle w:val="13"/>
                <w:lang w:val="en-US" w:eastAsia="zh-CN" w:bidi="ar"/>
              </w:rPr>
            </w:pPr>
            <w:r>
              <w:rPr>
                <w:rStyle w:val="13"/>
                <w:lang w:val="en-US" w:eastAsia="zh-CN" w:bidi="ar"/>
              </w:rPr>
              <w:t>预算调整率</w:t>
            </w:r>
            <w:r>
              <w:rPr>
                <w:rStyle w:val="14"/>
                <w:rFonts w:eastAsia="宋体"/>
                <w:lang w:val="en-US" w:eastAsia="zh-CN" w:bidi="ar"/>
              </w:rPr>
              <w:t>=</w:t>
            </w:r>
            <w:r>
              <w:rPr>
                <w:rStyle w:val="13"/>
                <w:lang w:val="en-US" w:eastAsia="zh-CN" w:bidi="ar"/>
              </w:rPr>
              <w:t>（预算调整数</w:t>
            </w:r>
            <w:r>
              <w:rPr>
                <w:rStyle w:val="14"/>
                <w:rFonts w:eastAsia="宋体"/>
                <w:lang w:val="en-US" w:eastAsia="zh-CN" w:bidi="ar"/>
              </w:rPr>
              <w:t>/</w:t>
            </w:r>
            <w:r>
              <w:rPr>
                <w:rStyle w:val="13"/>
                <w:lang w:val="en-US" w:eastAsia="zh-CN" w:bidi="ar"/>
              </w:rPr>
              <w:t>预算数）</w:t>
            </w:r>
            <w:r>
              <w:rPr>
                <w:rStyle w:val="14"/>
                <w:rFonts w:eastAsia="宋体"/>
                <w:lang w:val="en-US" w:eastAsia="zh-CN" w:bidi="ar"/>
              </w:rPr>
              <w:t>×100%</w:t>
            </w:r>
            <w:r>
              <w:rPr>
                <w:rStyle w:val="13"/>
                <w:lang w:val="en-US" w:eastAsia="zh-CN" w:bidi="ar"/>
              </w:rPr>
              <w:t>。</w:t>
            </w:r>
          </w:p>
          <w:p w14:paraId="195CFBE6">
            <w:pPr>
              <w:keepNext w:val="0"/>
              <w:keepLines w:val="0"/>
              <w:widowControl/>
              <w:suppressLineNumbers w:val="0"/>
              <w:jc w:val="left"/>
              <w:textAlignment w:val="center"/>
              <w:rPr>
                <w:rStyle w:val="13"/>
                <w:lang w:val="en-US" w:eastAsia="zh-CN" w:bidi="ar"/>
              </w:rPr>
            </w:pPr>
            <w:r>
              <w:rPr>
                <w:rStyle w:val="13"/>
                <w:lang w:val="en-US" w:eastAsia="zh-CN" w:bidi="ar"/>
              </w:rPr>
              <w:t>预算调整数：部门（单位）在本年度内涉及预算的追加、追减或结构调整的资金总和（因落实国家政策、发生不可抗力，市委、市政府临时交办而产生的调整及经济科目非跨类调整除外）。</w:t>
            </w:r>
          </w:p>
          <w:p w14:paraId="59EB5BD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该项得分，预算调整率</w:t>
            </w:r>
            <w:r>
              <w:rPr>
                <w:rStyle w:val="14"/>
                <w:rFonts w:eastAsia="宋体"/>
                <w:lang w:val="en-US" w:eastAsia="zh-CN" w:bidi="ar"/>
              </w:rPr>
              <w:t>&lt;5%</w:t>
            </w:r>
            <w:r>
              <w:rPr>
                <w:rStyle w:val="13"/>
                <w:lang w:val="en-US" w:eastAsia="zh-CN" w:bidi="ar"/>
              </w:rPr>
              <w:t>，计</w:t>
            </w:r>
            <w:r>
              <w:rPr>
                <w:rStyle w:val="14"/>
                <w:rFonts w:eastAsia="宋体"/>
                <w:lang w:val="en-US" w:eastAsia="zh-CN" w:bidi="ar"/>
              </w:rPr>
              <w:t>2</w:t>
            </w:r>
            <w:r>
              <w:rPr>
                <w:rStyle w:val="13"/>
                <w:lang w:val="en-US" w:eastAsia="zh-CN" w:bidi="ar"/>
              </w:rPr>
              <w:t>分；</w:t>
            </w:r>
            <w:r>
              <w:rPr>
                <w:rStyle w:val="14"/>
                <w:rFonts w:eastAsia="宋体"/>
                <w:lang w:val="en-US" w:eastAsia="zh-CN" w:bidi="ar"/>
              </w:rPr>
              <w:t>5-10%</w:t>
            </w:r>
            <w:r>
              <w:rPr>
                <w:rStyle w:val="13"/>
                <w:lang w:val="en-US" w:eastAsia="zh-CN" w:bidi="ar"/>
              </w:rPr>
              <w:t>（含），计</w:t>
            </w:r>
            <w:r>
              <w:rPr>
                <w:rStyle w:val="14"/>
                <w:rFonts w:eastAsia="宋体"/>
                <w:lang w:val="en-US" w:eastAsia="zh-CN" w:bidi="ar"/>
              </w:rPr>
              <w:t>1</w:t>
            </w:r>
            <w:r>
              <w:rPr>
                <w:rStyle w:val="13"/>
                <w:lang w:val="en-US" w:eastAsia="zh-CN" w:bidi="ar"/>
              </w:rPr>
              <w:t>分；大于</w:t>
            </w:r>
            <w:r>
              <w:rPr>
                <w:rStyle w:val="14"/>
                <w:rFonts w:eastAsia="宋体"/>
                <w:lang w:val="en-US" w:eastAsia="zh-CN" w:bidi="ar"/>
              </w:rPr>
              <w:t>10%</w:t>
            </w:r>
            <w:r>
              <w:rPr>
                <w:rStyle w:val="13"/>
                <w:lang w:val="en-US" w:eastAsia="zh-CN" w:bidi="ar"/>
              </w:rPr>
              <w:t>不得分。</w:t>
            </w:r>
          </w:p>
        </w:tc>
        <w:tc>
          <w:tcPr>
            <w:tcW w:w="2115" w:type="dxa"/>
            <w:tcBorders>
              <w:tl2br w:val="nil"/>
              <w:tr2bl w:val="nil"/>
            </w:tcBorders>
            <w:noWrap w:val="0"/>
            <w:vAlign w:val="center"/>
          </w:tcPr>
          <w:p w14:paraId="0DCFD97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财政部门批复的本年度部门（单位）预算；本年度部门（单位）决算报表；本年度部门（单位）预算的追加、追减或结构调整资料。</w:t>
            </w:r>
          </w:p>
        </w:tc>
        <w:tc>
          <w:tcPr>
            <w:tcW w:w="586" w:type="dxa"/>
            <w:tcBorders>
              <w:tl2br w:val="nil"/>
              <w:tr2bl w:val="nil"/>
            </w:tcBorders>
            <w:noWrap w:val="0"/>
            <w:vAlign w:val="center"/>
          </w:tcPr>
          <w:p w14:paraId="50DA778E">
            <w:pPr>
              <w:jc w:val="left"/>
              <w:rPr>
                <w:rFonts w:hint="eastAsia" w:ascii="Times New Roman" w:hAnsi="Times New Roman" w:eastAsia="宋体" w:cs="Times New Roman"/>
                <w:i w:val="0"/>
                <w:iCs w:val="0"/>
                <w:color w:val="000000"/>
                <w:sz w:val="18"/>
                <w:szCs w:val="18"/>
                <w:u w:val="none"/>
                <w:lang w:val="en-US" w:eastAsia="zh-CN"/>
              </w:rPr>
            </w:pPr>
            <w:r>
              <w:rPr>
                <w:rFonts w:hint="eastAsia" w:ascii="Times New Roman" w:hAnsi="Times New Roman" w:cs="Times New Roman"/>
                <w:i w:val="0"/>
                <w:iCs w:val="0"/>
                <w:color w:val="000000"/>
                <w:sz w:val="18"/>
                <w:szCs w:val="18"/>
                <w:u w:val="none"/>
                <w:lang w:val="en-US" w:eastAsia="zh-CN"/>
              </w:rPr>
              <w:t>2</w:t>
            </w:r>
          </w:p>
        </w:tc>
      </w:tr>
      <w:tr w14:paraId="0E7FA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0" w:hRule="atLeast"/>
          <w:jc w:val="center"/>
        </w:trPr>
        <w:tc>
          <w:tcPr>
            <w:tcW w:w="873" w:type="dxa"/>
            <w:vMerge w:val="continue"/>
            <w:tcBorders>
              <w:tl2br w:val="nil"/>
              <w:tr2bl w:val="nil"/>
            </w:tcBorders>
            <w:noWrap w:val="0"/>
            <w:vAlign w:val="center"/>
          </w:tcPr>
          <w:p w14:paraId="1E00BBA7">
            <w:pPr>
              <w:jc w:val="center"/>
              <w:rPr>
                <w:rFonts w:hint="eastAsia" w:ascii="宋体" w:hAnsi="宋体" w:eastAsia="宋体" w:cs="宋体"/>
                <w:i w:val="0"/>
                <w:iCs w:val="0"/>
                <w:color w:val="000000"/>
                <w:sz w:val="18"/>
                <w:szCs w:val="18"/>
                <w:u w:val="none"/>
              </w:rPr>
            </w:pPr>
          </w:p>
        </w:tc>
        <w:tc>
          <w:tcPr>
            <w:tcW w:w="870" w:type="dxa"/>
            <w:vMerge w:val="continue"/>
            <w:tcBorders>
              <w:tl2br w:val="nil"/>
              <w:tr2bl w:val="nil"/>
            </w:tcBorders>
            <w:noWrap w:val="0"/>
            <w:vAlign w:val="center"/>
          </w:tcPr>
          <w:p w14:paraId="012948F5">
            <w:pPr>
              <w:jc w:val="center"/>
              <w:rPr>
                <w:rFonts w:hint="eastAsia" w:ascii="宋体" w:hAnsi="宋体" w:eastAsia="宋体" w:cs="宋体"/>
                <w:i w:val="0"/>
                <w:iCs w:val="0"/>
                <w:color w:val="000000"/>
                <w:sz w:val="18"/>
                <w:szCs w:val="18"/>
                <w:u w:val="none"/>
              </w:rPr>
            </w:pPr>
          </w:p>
        </w:tc>
        <w:tc>
          <w:tcPr>
            <w:tcW w:w="1050" w:type="dxa"/>
            <w:tcBorders>
              <w:tl2br w:val="nil"/>
              <w:tr2bl w:val="nil"/>
            </w:tcBorders>
            <w:noWrap w:val="0"/>
            <w:vAlign w:val="center"/>
          </w:tcPr>
          <w:p w14:paraId="4F15DA52">
            <w:pPr>
              <w:keepNext w:val="0"/>
              <w:keepLines w:val="0"/>
              <w:widowControl/>
              <w:suppressLineNumbers w:val="0"/>
              <w:jc w:val="center"/>
              <w:textAlignment w:val="center"/>
              <w:rPr>
                <w:rStyle w:val="13"/>
                <w:lang w:val="en-US" w:eastAsia="zh-CN" w:bidi="ar"/>
              </w:rPr>
            </w:pPr>
            <w:r>
              <w:rPr>
                <w:rStyle w:val="13"/>
                <w:lang w:val="en-US" w:eastAsia="zh-CN" w:bidi="ar"/>
              </w:rPr>
              <w:t>结转</w:t>
            </w:r>
          </w:p>
          <w:p w14:paraId="5F0611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结余</w:t>
            </w:r>
          </w:p>
        </w:tc>
        <w:tc>
          <w:tcPr>
            <w:tcW w:w="495" w:type="dxa"/>
            <w:tcBorders>
              <w:tl2br w:val="nil"/>
              <w:tr2bl w:val="nil"/>
            </w:tcBorders>
            <w:noWrap w:val="0"/>
            <w:vAlign w:val="center"/>
          </w:tcPr>
          <w:p w14:paraId="0476510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70" w:type="dxa"/>
            <w:tcBorders>
              <w:tl2br w:val="nil"/>
              <w:tr2bl w:val="nil"/>
            </w:tcBorders>
            <w:noWrap w:val="0"/>
            <w:vAlign w:val="center"/>
          </w:tcPr>
          <w:p w14:paraId="73EB4B8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部门（单位）本年度结转结余情况，用以反映和考核部门（单位）对本年度结转结余资金使用情况。</w:t>
            </w:r>
          </w:p>
        </w:tc>
        <w:tc>
          <w:tcPr>
            <w:tcW w:w="5112" w:type="dxa"/>
            <w:tcBorders>
              <w:tl2br w:val="nil"/>
              <w:tr2bl w:val="nil"/>
            </w:tcBorders>
            <w:noWrap w:val="0"/>
            <w:vAlign w:val="center"/>
          </w:tcPr>
          <w:p w14:paraId="63260A90">
            <w:pPr>
              <w:keepNext w:val="0"/>
              <w:keepLines w:val="0"/>
              <w:widowControl/>
              <w:suppressLineNumbers w:val="0"/>
              <w:spacing w:after="180" w:afterAutospacing="0"/>
              <w:jc w:val="left"/>
              <w:textAlignment w:val="center"/>
              <w:rPr>
                <w:rStyle w:val="13"/>
                <w:lang w:val="en-US" w:eastAsia="zh-CN" w:bidi="ar"/>
              </w:rPr>
            </w:pPr>
          </w:p>
          <w:p w14:paraId="108346E7">
            <w:pPr>
              <w:keepNext w:val="0"/>
              <w:keepLines w:val="0"/>
              <w:widowControl/>
              <w:suppressLineNumbers w:val="0"/>
              <w:spacing w:after="180" w:afterAutospacing="0"/>
              <w:jc w:val="left"/>
              <w:textAlignment w:val="center"/>
              <w:rPr>
                <w:rStyle w:val="13"/>
                <w:lang w:val="en-US" w:eastAsia="zh-CN" w:bidi="ar"/>
              </w:rPr>
            </w:pPr>
            <w:r>
              <w:rPr>
                <w:rStyle w:val="13"/>
                <w:lang w:val="en-US" w:eastAsia="zh-CN" w:bidi="ar"/>
              </w:rPr>
              <w:t>结转结余率</w:t>
            </w:r>
            <w:r>
              <w:rPr>
                <w:rStyle w:val="14"/>
                <w:rFonts w:eastAsia="宋体"/>
                <w:lang w:val="en-US" w:eastAsia="zh-CN" w:bidi="ar"/>
              </w:rPr>
              <w:t>=</w:t>
            </w:r>
            <w:r>
              <w:rPr>
                <w:rStyle w:val="13"/>
                <w:lang w:val="en-US" w:eastAsia="zh-CN" w:bidi="ar"/>
              </w:rPr>
              <w:t>结转结余总额</w:t>
            </w:r>
            <w:r>
              <w:rPr>
                <w:rStyle w:val="14"/>
                <w:rFonts w:eastAsia="宋体"/>
                <w:lang w:val="en-US" w:eastAsia="zh-CN" w:bidi="ar"/>
              </w:rPr>
              <w:t>/</w:t>
            </w:r>
            <w:r>
              <w:rPr>
                <w:rStyle w:val="13"/>
                <w:lang w:val="en-US" w:eastAsia="zh-CN" w:bidi="ar"/>
              </w:rPr>
              <w:t>支出预算数</w:t>
            </w:r>
            <w:r>
              <w:rPr>
                <w:rStyle w:val="14"/>
                <w:rFonts w:eastAsia="宋体"/>
                <w:lang w:val="en-US" w:eastAsia="zh-CN" w:bidi="ar"/>
              </w:rPr>
              <w:t>×100%</w:t>
            </w:r>
            <w:r>
              <w:rPr>
                <w:rStyle w:val="13"/>
                <w:lang w:val="en-US" w:eastAsia="zh-CN" w:bidi="ar"/>
              </w:rPr>
              <w:t>。结转结余总额：部门本年度的结转资金与结余资金之和（以决算数为准）。</w:t>
            </w:r>
          </w:p>
          <w:p w14:paraId="0133C3D5">
            <w:pPr>
              <w:keepNext w:val="0"/>
              <w:keepLines w:val="0"/>
              <w:widowControl/>
              <w:suppressLineNumbers w:val="0"/>
              <w:spacing w:after="180" w:afterAutospacing="0"/>
              <w:jc w:val="left"/>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该项得分，结余率</w:t>
            </w:r>
            <w:r>
              <w:rPr>
                <w:rStyle w:val="14"/>
                <w:rFonts w:eastAsia="宋体"/>
                <w:lang w:val="en-US" w:eastAsia="zh-CN" w:bidi="ar"/>
              </w:rPr>
              <w:t>≤10%</w:t>
            </w:r>
            <w:r>
              <w:rPr>
                <w:rStyle w:val="13"/>
                <w:lang w:val="en-US" w:eastAsia="zh-CN" w:bidi="ar"/>
              </w:rPr>
              <w:t>的，计</w:t>
            </w:r>
            <w:r>
              <w:rPr>
                <w:rStyle w:val="14"/>
                <w:rFonts w:eastAsia="宋体"/>
                <w:lang w:val="en-US" w:eastAsia="zh-CN" w:bidi="ar"/>
              </w:rPr>
              <w:t>1</w:t>
            </w:r>
            <w:r>
              <w:rPr>
                <w:rStyle w:val="13"/>
                <w:lang w:val="en-US" w:eastAsia="zh-CN" w:bidi="ar"/>
              </w:rPr>
              <w:t>分；结余率</w:t>
            </w:r>
            <w:r>
              <w:rPr>
                <w:rStyle w:val="14"/>
                <w:rFonts w:eastAsia="宋体"/>
                <w:lang w:val="en-US" w:eastAsia="zh-CN" w:bidi="ar"/>
              </w:rPr>
              <w:t>&gt;10%</w:t>
            </w:r>
            <w:r>
              <w:rPr>
                <w:rStyle w:val="13"/>
                <w:lang w:val="en-US" w:eastAsia="zh-CN" w:bidi="ar"/>
              </w:rPr>
              <w:t>（不含），</w:t>
            </w:r>
            <w:r>
              <w:rPr>
                <w:rStyle w:val="14"/>
                <w:rFonts w:eastAsia="宋体"/>
                <w:lang w:val="en-US" w:eastAsia="zh-CN" w:bidi="ar"/>
              </w:rPr>
              <w:t>0.5</w:t>
            </w:r>
            <w:r>
              <w:rPr>
                <w:rStyle w:val="13"/>
                <w:lang w:val="en-US" w:eastAsia="zh-CN" w:bidi="ar"/>
              </w:rPr>
              <w:t>分；本年超支的，计</w:t>
            </w:r>
            <w:r>
              <w:rPr>
                <w:rStyle w:val="14"/>
                <w:rFonts w:eastAsia="宋体"/>
                <w:lang w:val="en-US" w:eastAsia="zh-CN" w:bidi="ar"/>
              </w:rPr>
              <w:t>0</w:t>
            </w:r>
            <w:r>
              <w:rPr>
                <w:rStyle w:val="13"/>
                <w:lang w:val="en-US" w:eastAsia="zh-CN" w:bidi="ar"/>
              </w:rPr>
              <w:t>分。</w:t>
            </w:r>
          </w:p>
        </w:tc>
        <w:tc>
          <w:tcPr>
            <w:tcW w:w="2115" w:type="dxa"/>
            <w:tcBorders>
              <w:tl2br w:val="nil"/>
              <w:tr2bl w:val="nil"/>
            </w:tcBorders>
            <w:noWrap w:val="0"/>
            <w:vAlign w:val="center"/>
          </w:tcPr>
          <w:p w14:paraId="2A67984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财政部门批复的本年度部门（单位）预算；本年度部门（单位）决算报表。</w:t>
            </w:r>
          </w:p>
        </w:tc>
        <w:tc>
          <w:tcPr>
            <w:tcW w:w="586" w:type="dxa"/>
            <w:tcBorders>
              <w:tl2br w:val="nil"/>
              <w:tr2bl w:val="nil"/>
            </w:tcBorders>
            <w:noWrap w:val="0"/>
            <w:vAlign w:val="center"/>
          </w:tcPr>
          <w:p w14:paraId="48A4104E">
            <w:pPr>
              <w:jc w:val="left"/>
              <w:rPr>
                <w:rFonts w:hint="eastAsia" w:ascii="Times New Roman" w:hAnsi="Times New Roman" w:eastAsia="宋体" w:cs="Times New Roman"/>
                <w:i w:val="0"/>
                <w:iCs w:val="0"/>
                <w:color w:val="000000"/>
                <w:sz w:val="18"/>
                <w:szCs w:val="18"/>
                <w:u w:val="none"/>
                <w:lang w:val="en-US" w:eastAsia="zh-CN"/>
              </w:rPr>
            </w:pPr>
            <w:r>
              <w:rPr>
                <w:rFonts w:hint="eastAsia" w:ascii="Times New Roman" w:hAnsi="Times New Roman" w:cs="Times New Roman"/>
                <w:i w:val="0"/>
                <w:iCs w:val="0"/>
                <w:color w:val="000000"/>
                <w:sz w:val="18"/>
                <w:szCs w:val="18"/>
                <w:u w:val="none"/>
                <w:lang w:val="en-US" w:eastAsia="zh-CN"/>
              </w:rPr>
              <w:t>1</w:t>
            </w:r>
          </w:p>
        </w:tc>
      </w:tr>
      <w:tr w14:paraId="1FC001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0" w:hRule="atLeast"/>
          <w:jc w:val="center"/>
        </w:trPr>
        <w:tc>
          <w:tcPr>
            <w:tcW w:w="873" w:type="dxa"/>
            <w:vMerge w:val="continue"/>
            <w:tcBorders>
              <w:tl2br w:val="nil"/>
              <w:tr2bl w:val="nil"/>
            </w:tcBorders>
            <w:noWrap w:val="0"/>
            <w:vAlign w:val="center"/>
          </w:tcPr>
          <w:p w14:paraId="3250B1C6">
            <w:pPr>
              <w:jc w:val="center"/>
              <w:rPr>
                <w:rFonts w:hint="eastAsia" w:ascii="宋体" w:hAnsi="宋体" w:eastAsia="宋体" w:cs="宋体"/>
                <w:i w:val="0"/>
                <w:iCs w:val="0"/>
                <w:color w:val="000000"/>
                <w:sz w:val="18"/>
                <w:szCs w:val="18"/>
                <w:u w:val="none"/>
              </w:rPr>
            </w:pPr>
          </w:p>
        </w:tc>
        <w:tc>
          <w:tcPr>
            <w:tcW w:w="870" w:type="dxa"/>
            <w:vMerge w:val="continue"/>
            <w:tcBorders>
              <w:tl2br w:val="nil"/>
              <w:tr2bl w:val="nil"/>
            </w:tcBorders>
            <w:noWrap w:val="0"/>
            <w:vAlign w:val="center"/>
          </w:tcPr>
          <w:p w14:paraId="1E464C0F">
            <w:pPr>
              <w:jc w:val="center"/>
              <w:rPr>
                <w:rFonts w:hint="eastAsia" w:ascii="宋体" w:hAnsi="宋体" w:eastAsia="宋体" w:cs="宋体"/>
                <w:i w:val="0"/>
                <w:iCs w:val="0"/>
                <w:color w:val="000000"/>
                <w:sz w:val="18"/>
                <w:szCs w:val="18"/>
                <w:u w:val="none"/>
              </w:rPr>
            </w:pPr>
          </w:p>
        </w:tc>
        <w:tc>
          <w:tcPr>
            <w:tcW w:w="1050" w:type="dxa"/>
            <w:tcBorders>
              <w:tl2br w:val="nil"/>
              <w:tr2bl w:val="nil"/>
            </w:tcBorders>
            <w:noWrap w:val="0"/>
            <w:vAlign w:val="center"/>
          </w:tcPr>
          <w:p w14:paraId="01EA3022">
            <w:pPr>
              <w:keepNext w:val="0"/>
              <w:keepLines w:val="0"/>
              <w:widowControl/>
              <w:suppressLineNumbers w:val="0"/>
              <w:jc w:val="center"/>
              <w:textAlignment w:val="center"/>
              <w:rPr>
                <w:rStyle w:val="13"/>
                <w:lang w:val="en-US" w:eastAsia="zh-CN" w:bidi="ar"/>
              </w:rPr>
            </w:pPr>
            <w:r>
              <w:rPr>
                <w:rStyle w:val="13"/>
                <w:lang w:val="en-US" w:eastAsia="zh-CN" w:bidi="ar"/>
              </w:rPr>
              <w:t>公用经费</w:t>
            </w:r>
          </w:p>
          <w:p w14:paraId="6237A3C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控制率</w:t>
            </w:r>
          </w:p>
        </w:tc>
        <w:tc>
          <w:tcPr>
            <w:tcW w:w="495" w:type="dxa"/>
            <w:tcBorders>
              <w:tl2br w:val="nil"/>
              <w:tr2bl w:val="nil"/>
            </w:tcBorders>
            <w:noWrap w:val="0"/>
            <w:vAlign w:val="center"/>
          </w:tcPr>
          <w:p w14:paraId="6581DBB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2570" w:type="dxa"/>
            <w:tcBorders>
              <w:tl2br w:val="nil"/>
              <w:tr2bl w:val="nil"/>
            </w:tcBorders>
            <w:noWrap w:val="0"/>
            <w:vAlign w:val="center"/>
          </w:tcPr>
          <w:p w14:paraId="1B641A4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部门本年度实际支出的公用经费总额与预算安排的公用经费总额的比率，用以反映和考核部门对机构运转成本的实际控制程度。</w:t>
            </w:r>
          </w:p>
        </w:tc>
        <w:tc>
          <w:tcPr>
            <w:tcW w:w="5112" w:type="dxa"/>
            <w:tcBorders>
              <w:tl2br w:val="nil"/>
              <w:tr2bl w:val="nil"/>
            </w:tcBorders>
            <w:noWrap w:val="0"/>
            <w:vAlign w:val="center"/>
          </w:tcPr>
          <w:p w14:paraId="24BE384D">
            <w:pPr>
              <w:keepNext w:val="0"/>
              <w:keepLines w:val="0"/>
              <w:widowControl/>
              <w:suppressLineNumbers w:val="0"/>
              <w:jc w:val="left"/>
              <w:textAlignment w:val="center"/>
              <w:rPr>
                <w:rStyle w:val="13"/>
                <w:lang w:val="en-US" w:eastAsia="zh-CN" w:bidi="ar"/>
              </w:rPr>
            </w:pPr>
            <w:r>
              <w:rPr>
                <w:rStyle w:val="13"/>
                <w:lang w:val="en-US" w:eastAsia="zh-CN" w:bidi="ar"/>
              </w:rPr>
              <w:t>公用经费控制率</w:t>
            </w:r>
            <w:r>
              <w:rPr>
                <w:rStyle w:val="14"/>
                <w:rFonts w:eastAsia="宋体"/>
                <w:lang w:val="en-US" w:eastAsia="zh-CN" w:bidi="ar"/>
              </w:rPr>
              <w:t>=</w:t>
            </w:r>
            <w:r>
              <w:rPr>
                <w:rStyle w:val="13"/>
                <w:lang w:val="en-US" w:eastAsia="zh-CN" w:bidi="ar"/>
              </w:rPr>
              <w:t>（实际支出公用经费总额</w:t>
            </w:r>
            <w:r>
              <w:rPr>
                <w:rStyle w:val="14"/>
                <w:rFonts w:eastAsia="宋体"/>
                <w:lang w:val="en-US" w:eastAsia="zh-CN" w:bidi="ar"/>
              </w:rPr>
              <w:t>/</w:t>
            </w:r>
            <w:r>
              <w:rPr>
                <w:rStyle w:val="13"/>
                <w:lang w:val="en-US" w:eastAsia="zh-CN" w:bidi="ar"/>
              </w:rPr>
              <w:t>预算安排公用经费总额）</w:t>
            </w:r>
            <w:r>
              <w:rPr>
                <w:rStyle w:val="14"/>
                <w:rFonts w:eastAsia="宋体"/>
                <w:lang w:val="en-US" w:eastAsia="zh-CN" w:bidi="ar"/>
              </w:rPr>
              <w:t>×100%</w:t>
            </w:r>
            <w:r>
              <w:rPr>
                <w:rStyle w:val="13"/>
                <w:lang w:val="en-US" w:eastAsia="zh-CN" w:bidi="ar"/>
              </w:rPr>
              <w:t>。</w:t>
            </w:r>
          </w:p>
          <w:p w14:paraId="697B01D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Style w:val="13"/>
                <w:lang w:val="en-US" w:eastAsia="zh-CN" w:bidi="ar"/>
              </w:rPr>
              <w:t>该项得分，控制率</w:t>
            </w:r>
            <w:r>
              <w:rPr>
                <w:rStyle w:val="14"/>
                <w:rFonts w:eastAsia="宋体"/>
                <w:lang w:val="en-US" w:eastAsia="zh-CN" w:bidi="ar"/>
              </w:rPr>
              <w:t>≤100%</w:t>
            </w:r>
            <w:r>
              <w:rPr>
                <w:rStyle w:val="13"/>
                <w:lang w:val="en-US" w:eastAsia="zh-CN" w:bidi="ar"/>
              </w:rPr>
              <w:t>，计</w:t>
            </w:r>
            <w:r>
              <w:rPr>
                <w:rStyle w:val="14"/>
                <w:rFonts w:eastAsia="宋体"/>
                <w:lang w:val="en-US" w:eastAsia="zh-CN" w:bidi="ar"/>
              </w:rPr>
              <w:t>2</w:t>
            </w:r>
            <w:r>
              <w:rPr>
                <w:rStyle w:val="13"/>
                <w:lang w:val="en-US" w:eastAsia="zh-CN" w:bidi="ar"/>
              </w:rPr>
              <w:t>分，控制率</w:t>
            </w:r>
            <w:r>
              <w:rPr>
                <w:rStyle w:val="14"/>
                <w:rFonts w:eastAsia="宋体"/>
                <w:lang w:val="en-US" w:eastAsia="zh-CN" w:bidi="ar"/>
              </w:rPr>
              <w:t>&gt;100%</w:t>
            </w:r>
            <w:r>
              <w:rPr>
                <w:rStyle w:val="13"/>
                <w:lang w:val="en-US" w:eastAsia="zh-CN" w:bidi="ar"/>
              </w:rPr>
              <w:t>，计</w:t>
            </w:r>
            <w:r>
              <w:rPr>
                <w:rStyle w:val="14"/>
                <w:rFonts w:eastAsia="宋体"/>
                <w:lang w:val="en-US" w:eastAsia="zh-CN" w:bidi="ar"/>
              </w:rPr>
              <w:t>0</w:t>
            </w:r>
            <w:r>
              <w:rPr>
                <w:rStyle w:val="13"/>
                <w:lang w:val="en-US" w:eastAsia="zh-CN" w:bidi="ar"/>
              </w:rPr>
              <w:t>分。</w:t>
            </w:r>
          </w:p>
        </w:tc>
        <w:tc>
          <w:tcPr>
            <w:tcW w:w="2115" w:type="dxa"/>
            <w:tcBorders>
              <w:tl2br w:val="nil"/>
              <w:tr2bl w:val="nil"/>
            </w:tcBorders>
            <w:noWrap w:val="0"/>
            <w:vAlign w:val="center"/>
          </w:tcPr>
          <w:p w14:paraId="2C622F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财政部门批复的本年度部门（单位）预算；本年度部门（单位）决算报表。</w:t>
            </w:r>
          </w:p>
        </w:tc>
        <w:tc>
          <w:tcPr>
            <w:tcW w:w="586" w:type="dxa"/>
            <w:tcBorders>
              <w:tl2br w:val="nil"/>
              <w:tr2bl w:val="nil"/>
            </w:tcBorders>
            <w:noWrap w:val="0"/>
            <w:vAlign w:val="center"/>
          </w:tcPr>
          <w:p w14:paraId="30F217E9">
            <w:pPr>
              <w:jc w:val="left"/>
              <w:rPr>
                <w:rFonts w:hint="eastAsia" w:ascii="Times New Roman" w:hAnsi="Times New Roman" w:eastAsia="宋体" w:cs="Times New Roman"/>
                <w:i w:val="0"/>
                <w:iCs w:val="0"/>
                <w:color w:val="000000"/>
                <w:sz w:val="18"/>
                <w:szCs w:val="18"/>
                <w:u w:val="none"/>
                <w:lang w:val="en-US" w:eastAsia="zh-CN"/>
              </w:rPr>
            </w:pPr>
            <w:r>
              <w:rPr>
                <w:rFonts w:hint="eastAsia" w:ascii="Times New Roman" w:hAnsi="Times New Roman" w:cs="Times New Roman"/>
                <w:i w:val="0"/>
                <w:iCs w:val="0"/>
                <w:color w:val="000000"/>
                <w:sz w:val="18"/>
                <w:szCs w:val="18"/>
                <w:u w:val="none"/>
                <w:lang w:val="en-US" w:eastAsia="zh-CN"/>
              </w:rPr>
              <w:t>2</w:t>
            </w:r>
          </w:p>
        </w:tc>
      </w:tr>
      <w:tr w14:paraId="590F3A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0" w:hRule="atLeast"/>
          <w:jc w:val="center"/>
        </w:trPr>
        <w:tc>
          <w:tcPr>
            <w:tcW w:w="873" w:type="dxa"/>
            <w:vMerge w:val="continue"/>
            <w:tcBorders>
              <w:tl2br w:val="nil"/>
              <w:tr2bl w:val="nil"/>
            </w:tcBorders>
            <w:noWrap w:val="0"/>
            <w:vAlign w:val="center"/>
          </w:tcPr>
          <w:p w14:paraId="2569928F">
            <w:pPr>
              <w:jc w:val="center"/>
              <w:rPr>
                <w:rFonts w:hint="eastAsia" w:ascii="宋体" w:hAnsi="宋体" w:eastAsia="宋体" w:cs="宋体"/>
                <w:i w:val="0"/>
                <w:iCs w:val="0"/>
                <w:color w:val="000000"/>
                <w:sz w:val="18"/>
                <w:szCs w:val="18"/>
                <w:u w:val="none"/>
              </w:rPr>
            </w:pPr>
          </w:p>
        </w:tc>
        <w:tc>
          <w:tcPr>
            <w:tcW w:w="870" w:type="dxa"/>
            <w:vMerge w:val="continue"/>
            <w:tcBorders>
              <w:tl2br w:val="nil"/>
              <w:tr2bl w:val="nil"/>
            </w:tcBorders>
            <w:noWrap w:val="0"/>
            <w:vAlign w:val="center"/>
          </w:tcPr>
          <w:p w14:paraId="0C2552E6">
            <w:pPr>
              <w:jc w:val="center"/>
              <w:rPr>
                <w:rFonts w:hint="eastAsia" w:ascii="宋体" w:hAnsi="宋体" w:eastAsia="宋体" w:cs="宋体"/>
                <w:i w:val="0"/>
                <w:iCs w:val="0"/>
                <w:color w:val="000000"/>
                <w:sz w:val="18"/>
                <w:szCs w:val="18"/>
                <w:u w:val="none"/>
              </w:rPr>
            </w:pPr>
          </w:p>
        </w:tc>
        <w:tc>
          <w:tcPr>
            <w:tcW w:w="1050" w:type="dxa"/>
            <w:tcBorders>
              <w:tl2br w:val="nil"/>
              <w:tr2bl w:val="nil"/>
            </w:tcBorders>
            <w:noWrap w:val="0"/>
            <w:vAlign w:val="center"/>
          </w:tcPr>
          <w:p w14:paraId="1E256853">
            <w:pPr>
              <w:keepNext w:val="0"/>
              <w:keepLines w:val="0"/>
              <w:widowControl/>
              <w:suppressLineNumbers w:val="0"/>
              <w:jc w:val="center"/>
              <w:textAlignment w:val="center"/>
              <w:rPr>
                <w:rStyle w:val="14"/>
                <w:rFonts w:eastAsia="宋体"/>
                <w:lang w:val="en-US" w:eastAsia="zh-CN" w:bidi="ar"/>
              </w:rPr>
            </w:pPr>
            <w:r>
              <w:rPr>
                <w:rStyle w:val="14"/>
                <w:rFonts w:eastAsia="宋体"/>
                <w:lang w:val="en-US" w:eastAsia="zh-CN" w:bidi="ar"/>
              </w:rPr>
              <w:t>“</w:t>
            </w:r>
            <w:r>
              <w:rPr>
                <w:rStyle w:val="13"/>
                <w:lang w:val="en-US" w:eastAsia="zh-CN" w:bidi="ar"/>
              </w:rPr>
              <w:t>三公经费</w:t>
            </w:r>
            <w:r>
              <w:rPr>
                <w:rStyle w:val="14"/>
                <w:rFonts w:eastAsia="宋体"/>
                <w:lang w:val="en-US" w:eastAsia="zh-CN" w:bidi="ar"/>
              </w:rPr>
              <w:t>”</w:t>
            </w:r>
          </w:p>
          <w:p w14:paraId="360697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控制率</w:t>
            </w:r>
          </w:p>
        </w:tc>
        <w:tc>
          <w:tcPr>
            <w:tcW w:w="495" w:type="dxa"/>
            <w:tcBorders>
              <w:tl2br w:val="nil"/>
              <w:tr2bl w:val="nil"/>
            </w:tcBorders>
            <w:noWrap w:val="0"/>
            <w:vAlign w:val="center"/>
          </w:tcPr>
          <w:p w14:paraId="02257D3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2570" w:type="dxa"/>
            <w:tcBorders>
              <w:tl2br w:val="nil"/>
              <w:tr2bl w:val="nil"/>
            </w:tcBorders>
            <w:noWrap w:val="0"/>
            <w:vAlign w:val="center"/>
          </w:tcPr>
          <w:p w14:paraId="0977922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部门（单位）本年度</w:t>
            </w:r>
            <w:r>
              <w:rPr>
                <w:rStyle w:val="14"/>
                <w:rFonts w:eastAsia="宋体"/>
                <w:lang w:val="en-US" w:eastAsia="zh-CN" w:bidi="ar"/>
              </w:rPr>
              <w:t>“</w:t>
            </w:r>
            <w:r>
              <w:rPr>
                <w:rStyle w:val="13"/>
                <w:lang w:val="en-US" w:eastAsia="zh-CN" w:bidi="ar"/>
              </w:rPr>
              <w:t>三公经费</w:t>
            </w:r>
            <w:r>
              <w:rPr>
                <w:rStyle w:val="14"/>
                <w:rFonts w:eastAsia="宋体"/>
                <w:lang w:val="en-US" w:eastAsia="zh-CN" w:bidi="ar"/>
              </w:rPr>
              <w:t>”</w:t>
            </w:r>
            <w:r>
              <w:rPr>
                <w:rStyle w:val="13"/>
                <w:lang w:val="en-US" w:eastAsia="zh-CN" w:bidi="ar"/>
              </w:rPr>
              <w:t>实际支出数与预算安排数的比率，用以反映和考核部门（单位）对</w:t>
            </w:r>
            <w:r>
              <w:rPr>
                <w:rStyle w:val="14"/>
                <w:rFonts w:eastAsia="宋体"/>
                <w:lang w:val="en-US" w:eastAsia="zh-CN" w:bidi="ar"/>
              </w:rPr>
              <w:t>“</w:t>
            </w:r>
            <w:r>
              <w:rPr>
                <w:rStyle w:val="13"/>
                <w:lang w:val="en-US" w:eastAsia="zh-CN" w:bidi="ar"/>
              </w:rPr>
              <w:t>三公经费</w:t>
            </w:r>
            <w:r>
              <w:rPr>
                <w:rStyle w:val="14"/>
                <w:rFonts w:eastAsia="宋体"/>
                <w:lang w:val="en-US" w:eastAsia="zh-CN" w:bidi="ar"/>
              </w:rPr>
              <w:t>”</w:t>
            </w:r>
            <w:r>
              <w:rPr>
                <w:rStyle w:val="13"/>
                <w:lang w:val="en-US" w:eastAsia="zh-CN" w:bidi="ar"/>
              </w:rPr>
              <w:t>的实际控制程度。</w:t>
            </w:r>
          </w:p>
        </w:tc>
        <w:tc>
          <w:tcPr>
            <w:tcW w:w="5112" w:type="dxa"/>
            <w:tcBorders>
              <w:tl2br w:val="nil"/>
              <w:tr2bl w:val="nil"/>
            </w:tcBorders>
            <w:noWrap w:val="0"/>
            <w:vAlign w:val="center"/>
          </w:tcPr>
          <w:p w14:paraId="71CB2B45">
            <w:pPr>
              <w:keepNext w:val="0"/>
              <w:keepLines w:val="0"/>
              <w:widowControl/>
              <w:suppressLineNumbers w:val="0"/>
              <w:jc w:val="left"/>
              <w:textAlignment w:val="center"/>
              <w:rPr>
                <w:rStyle w:val="13"/>
                <w:lang w:val="en-US" w:eastAsia="zh-CN" w:bidi="ar"/>
              </w:rPr>
            </w:pPr>
            <w:r>
              <w:rPr>
                <w:rStyle w:val="14"/>
                <w:rFonts w:eastAsia="宋体"/>
                <w:lang w:val="en-US" w:eastAsia="zh-CN" w:bidi="ar"/>
              </w:rPr>
              <w:t>“</w:t>
            </w:r>
            <w:r>
              <w:rPr>
                <w:rStyle w:val="13"/>
                <w:lang w:val="en-US" w:eastAsia="zh-CN" w:bidi="ar"/>
              </w:rPr>
              <w:t>三公经费</w:t>
            </w:r>
            <w:r>
              <w:rPr>
                <w:rStyle w:val="14"/>
                <w:rFonts w:eastAsia="宋体"/>
                <w:lang w:val="en-US" w:eastAsia="zh-CN" w:bidi="ar"/>
              </w:rPr>
              <w:t>”</w:t>
            </w:r>
            <w:r>
              <w:rPr>
                <w:rStyle w:val="13"/>
                <w:lang w:val="en-US" w:eastAsia="zh-CN" w:bidi="ar"/>
              </w:rPr>
              <w:t>控制率</w:t>
            </w:r>
            <w:r>
              <w:rPr>
                <w:rStyle w:val="14"/>
                <w:rFonts w:eastAsia="宋体"/>
                <w:lang w:val="en-US" w:eastAsia="zh-CN" w:bidi="ar"/>
              </w:rPr>
              <w:t>=</w:t>
            </w:r>
            <w:r>
              <w:rPr>
                <w:rStyle w:val="13"/>
                <w:lang w:val="en-US" w:eastAsia="zh-CN" w:bidi="ar"/>
              </w:rPr>
              <w:t>（</w:t>
            </w:r>
            <w:r>
              <w:rPr>
                <w:rStyle w:val="14"/>
                <w:rFonts w:eastAsia="宋体"/>
                <w:lang w:val="en-US" w:eastAsia="zh-CN" w:bidi="ar"/>
              </w:rPr>
              <w:t>“</w:t>
            </w:r>
            <w:r>
              <w:rPr>
                <w:rStyle w:val="13"/>
                <w:lang w:val="en-US" w:eastAsia="zh-CN" w:bidi="ar"/>
              </w:rPr>
              <w:t>三公经费</w:t>
            </w:r>
            <w:r>
              <w:rPr>
                <w:rStyle w:val="14"/>
                <w:rFonts w:eastAsia="宋体"/>
                <w:lang w:val="en-US" w:eastAsia="zh-CN" w:bidi="ar"/>
              </w:rPr>
              <w:t>”</w:t>
            </w:r>
            <w:r>
              <w:rPr>
                <w:rStyle w:val="13"/>
                <w:lang w:val="en-US" w:eastAsia="zh-CN" w:bidi="ar"/>
              </w:rPr>
              <w:t>实际支出数</w:t>
            </w:r>
            <w:r>
              <w:rPr>
                <w:rStyle w:val="14"/>
                <w:rFonts w:eastAsia="宋体"/>
                <w:lang w:val="en-US" w:eastAsia="zh-CN" w:bidi="ar"/>
              </w:rPr>
              <w:t>/“</w:t>
            </w:r>
            <w:r>
              <w:rPr>
                <w:rStyle w:val="13"/>
                <w:lang w:val="en-US" w:eastAsia="zh-CN" w:bidi="ar"/>
              </w:rPr>
              <w:t>三公经费</w:t>
            </w:r>
            <w:r>
              <w:rPr>
                <w:rStyle w:val="14"/>
                <w:rFonts w:eastAsia="宋体"/>
                <w:lang w:val="en-US" w:eastAsia="zh-CN" w:bidi="ar"/>
              </w:rPr>
              <w:t>”</w:t>
            </w:r>
            <w:r>
              <w:rPr>
                <w:rStyle w:val="13"/>
                <w:lang w:val="en-US" w:eastAsia="zh-CN" w:bidi="ar"/>
              </w:rPr>
              <w:t>预算安排数）</w:t>
            </w:r>
            <w:r>
              <w:rPr>
                <w:rStyle w:val="14"/>
                <w:rFonts w:eastAsia="宋体"/>
                <w:lang w:val="en-US" w:eastAsia="zh-CN" w:bidi="ar"/>
              </w:rPr>
              <w:t>×100%</w:t>
            </w:r>
            <w:r>
              <w:rPr>
                <w:rStyle w:val="13"/>
                <w:lang w:val="en-US" w:eastAsia="zh-CN" w:bidi="ar"/>
              </w:rPr>
              <w:t>。</w:t>
            </w:r>
          </w:p>
          <w:p w14:paraId="51F935E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该项得分，控制率</w:t>
            </w:r>
            <w:r>
              <w:rPr>
                <w:rStyle w:val="14"/>
                <w:rFonts w:eastAsia="宋体"/>
                <w:lang w:val="en-US" w:eastAsia="zh-CN" w:bidi="ar"/>
              </w:rPr>
              <w:t>≤100%</w:t>
            </w:r>
            <w:r>
              <w:rPr>
                <w:rStyle w:val="13"/>
                <w:lang w:val="en-US" w:eastAsia="zh-CN" w:bidi="ar"/>
              </w:rPr>
              <w:t>，计</w:t>
            </w:r>
            <w:r>
              <w:rPr>
                <w:rStyle w:val="14"/>
                <w:rFonts w:eastAsia="宋体"/>
                <w:lang w:val="en-US" w:eastAsia="zh-CN" w:bidi="ar"/>
              </w:rPr>
              <w:t>2</w:t>
            </w:r>
            <w:r>
              <w:rPr>
                <w:rStyle w:val="13"/>
                <w:lang w:val="en-US" w:eastAsia="zh-CN" w:bidi="ar"/>
              </w:rPr>
              <w:t>分，控制率</w:t>
            </w:r>
            <w:r>
              <w:rPr>
                <w:rStyle w:val="14"/>
                <w:rFonts w:eastAsia="宋体"/>
                <w:lang w:val="en-US" w:eastAsia="zh-CN" w:bidi="ar"/>
              </w:rPr>
              <w:t>&gt;100%</w:t>
            </w:r>
            <w:r>
              <w:rPr>
                <w:rStyle w:val="13"/>
                <w:lang w:val="en-US" w:eastAsia="zh-CN" w:bidi="ar"/>
              </w:rPr>
              <w:t>，计</w:t>
            </w:r>
            <w:r>
              <w:rPr>
                <w:rStyle w:val="14"/>
                <w:rFonts w:eastAsia="宋体"/>
                <w:lang w:val="en-US" w:eastAsia="zh-CN" w:bidi="ar"/>
              </w:rPr>
              <w:t>0</w:t>
            </w:r>
            <w:r>
              <w:rPr>
                <w:rStyle w:val="13"/>
                <w:lang w:val="en-US" w:eastAsia="zh-CN" w:bidi="ar"/>
              </w:rPr>
              <w:t>分。</w:t>
            </w:r>
          </w:p>
        </w:tc>
        <w:tc>
          <w:tcPr>
            <w:tcW w:w="2115" w:type="dxa"/>
            <w:tcBorders>
              <w:tl2br w:val="nil"/>
              <w:tr2bl w:val="nil"/>
            </w:tcBorders>
            <w:noWrap w:val="0"/>
            <w:vAlign w:val="center"/>
          </w:tcPr>
          <w:p w14:paraId="7E16507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财政部门批复的本年度部门（单位）预算；本年度部门（单位）决算报表。</w:t>
            </w:r>
          </w:p>
        </w:tc>
        <w:tc>
          <w:tcPr>
            <w:tcW w:w="586" w:type="dxa"/>
            <w:tcBorders>
              <w:tl2br w:val="nil"/>
              <w:tr2bl w:val="nil"/>
            </w:tcBorders>
            <w:noWrap w:val="0"/>
            <w:vAlign w:val="center"/>
          </w:tcPr>
          <w:p w14:paraId="25F999DB">
            <w:pPr>
              <w:jc w:val="left"/>
              <w:rPr>
                <w:rFonts w:hint="eastAsia" w:ascii="Times New Roman" w:hAnsi="Times New Roman" w:eastAsia="宋体" w:cs="Times New Roman"/>
                <w:i w:val="0"/>
                <w:iCs w:val="0"/>
                <w:color w:val="000000"/>
                <w:sz w:val="18"/>
                <w:szCs w:val="18"/>
                <w:u w:val="none"/>
                <w:lang w:val="en-US" w:eastAsia="zh-CN"/>
              </w:rPr>
            </w:pPr>
            <w:r>
              <w:rPr>
                <w:rFonts w:hint="eastAsia" w:ascii="Times New Roman" w:hAnsi="Times New Roman" w:cs="Times New Roman"/>
                <w:i w:val="0"/>
                <w:iCs w:val="0"/>
                <w:color w:val="000000"/>
                <w:sz w:val="18"/>
                <w:szCs w:val="18"/>
                <w:u w:val="none"/>
                <w:lang w:val="en-US" w:eastAsia="zh-CN"/>
              </w:rPr>
              <w:t>2</w:t>
            </w:r>
          </w:p>
        </w:tc>
      </w:tr>
      <w:tr w14:paraId="74DBC5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5" w:hRule="atLeast"/>
          <w:jc w:val="center"/>
        </w:trPr>
        <w:tc>
          <w:tcPr>
            <w:tcW w:w="873" w:type="dxa"/>
            <w:vMerge w:val="continue"/>
            <w:tcBorders>
              <w:tl2br w:val="nil"/>
              <w:tr2bl w:val="nil"/>
            </w:tcBorders>
            <w:noWrap w:val="0"/>
            <w:vAlign w:val="center"/>
          </w:tcPr>
          <w:p w14:paraId="593DF21A">
            <w:pPr>
              <w:jc w:val="center"/>
              <w:rPr>
                <w:rFonts w:hint="eastAsia" w:ascii="宋体" w:hAnsi="宋体" w:eastAsia="宋体" w:cs="宋体"/>
                <w:i w:val="0"/>
                <w:iCs w:val="0"/>
                <w:color w:val="000000"/>
                <w:sz w:val="18"/>
                <w:szCs w:val="18"/>
                <w:u w:val="none"/>
              </w:rPr>
            </w:pPr>
          </w:p>
        </w:tc>
        <w:tc>
          <w:tcPr>
            <w:tcW w:w="870" w:type="dxa"/>
            <w:vMerge w:val="continue"/>
            <w:tcBorders>
              <w:tl2br w:val="nil"/>
              <w:tr2bl w:val="nil"/>
            </w:tcBorders>
            <w:noWrap w:val="0"/>
            <w:vAlign w:val="center"/>
          </w:tcPr>
          <w:p w14:paraId="3B15DC76">
            <w:pPr>
              <w:jc w:val="center"/>
              <w:rPr>
                <w:rFonts w:hint="eastAsia" w:ascii="宋体" w:hAnsi="宋体" w:eastAsia="宋体" w:cs="宋体"/>
                <w:i w:val="0"/>
                <w:iCs w:val="0"/>
                <w:color w:val="000000"/>
                <w:sz w:val="18"/>
                <w:szCs w:val="18"/>
                <w:u w:val="none"/>
              </w:rPr>
            </w:pPr>
          </w:p>
        </w:tc>
        <w:tc>
          <w:tcPr>
            <w:tcW w:w="1050" w:type="dxa"/>
            <w:tcBorders>
              <w:tl2br w:val="nil"/>
              <w:tr2bl w:val="nil"/>
            </w:tcBorders>
            <w:noWrap w:val="0"/>
            <w:vAlign w:val="center"/>
          </w:tcPr>
          <w:p w14:paraId="76D9919C">
            <w:pPr>
              <w:keepNext w:val="0"/>
              <w:keepLines w:val="0"/>
              <w:widowControl/>
              <w:suppressLineNumbers w:val="0"/>
              <w:jc w:val="center"/>
              <w:textAlignment w:val="center"/>
              <w:rPr>
                <w:rStyle w:val="13"/>
                <w:lang w:val="en-US" w:eastAsia="zh-CN" w:bidi="ar"/>
              </w:rPr>
            </w:pPr>
            <w:r>
              <w:rPr>
                <w:rStyle w:val="13"/>
                <w:lang w:val="en-US" w:eastAsia="zh-CN" w:bidi="ar"/>
              </w:rPr>
              <w:t>政府采购</w:t>
            </w:r>
          </w:p>
          <w:p w14:paraId="6BD688BF">
            <w:pPr>
              <w:keepNext w:val="0"/>
              <w:keepLines w:val="0"/>
              <w:widowControl/>
              <w:suppressLineNumbers w:val="0"/>
              <w:jc w:val="center"/>
              <w:textAlignment w:val="center"/>
              <w:rPr>
                <w:rStyle w:val="13"/>
                <w:lang w:val="en-US" w:eastAsia="zh-CN" w:bidi="ar"/>
              </w:rPr>
            </w:pPr>
            <w:r>
              <w:rPr>
                <w:rStyle w:val="13"/>
                <w:lang w:val="en-US" w:eastAsia="zh-CN" w:bidi="ar"/>
              </w:rPr>
              <w:t>执行率和</w:t>
            </w:r>
          </w:p>
          <w:p w14:paraId="66B7BAA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规范性</w:t>
            </w:r>
          </w:p>
        </w:tc>
        <w:tc>
          <w:tcPr>
            <w:tcW w:w="495" w:type="dxa"/>
            <w:tcBorders>
              <w:tl2br w:val="nil"/>
              <w:tr2bl w:val="nil"/>
            </w:tcBorders>
            <w:noWrap w:val="0"/>
            <w:vAlign w:val="center"/>
          </w:tcPr>
          <w:p w14:paraId="310BEA6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2570" w:type="dxa"/>
            <w:tcBorders>
              <w:tl2br w:val="nil"/>
              <w:tr2bl w:val="nil"/>
            </w:tcBorders>
            <w:noWrap w:val="0"/>
            <w:vAlign w:val="center"/>
          </w:tcPr>
          <w:p w14:paraId="383615C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部门（单位）本年度实际政府采购金额与年初政府采购预算的比率，用以反映和考核部门（单位）政府采购预算执行情况。</w:t>
            </w:r>
          </w:p>
        </w:tc>
        <w:tc>
          <w:tcPr>
            <w:tcW w:w="5112" w:type="dxa"/>
            <w:tcBorders>
              <w:tl2br w:val="nil"/>
              <w:tr2bl w:val="nil"/>
            </w:tcBorders>
            <w:noWrap w:val="0"/>
            <w:vAlign w:val="center"/>
          </w:tcPr>
          <w:p w14:paraId="649D7A5B">
            <w:pPr>
              <w:keepNext w:val="0"/>
              <w:keepLines w:val="0"/>
              <w:widowControl/>
              <w:suppressLineNumbers w:val="0"/>
              <w:jc w:val="left"/>
              <w:textAlignment w:val="center"/>
              <w:rPr>
                <w:rStyle w:val="13"/>
                <w:lang w:val="en-US" w:eastAsia="zh-CN" w:bidi="ar"/>
              </w:rPr>
            </w:pPr>
          </w:p>
          <w:p w14:paraId="78F562FB">
            <w:pPr>
              <w:keepNext w:val="0"/>
              <w:keepLines w:val="0"/>
              <w:widowControl/>
              <w:suppressLineNumbers w:val="0"/>
              <w:jc w:val="left"/>
              <w:textAlignment w:val="center"/>
              <w:rPr>
                <w:rStyle w:val="13"/>
                <w:lang w:val="en-US" w:eastAsia="zh-CN" w:bidi="ar"/>
              </w:rPr>
            </w:pPr>
            <w:r>
              <w:rPr>
                <w:rStyle w:val="13"/>
                <w:lang w:val="en-US" w:eastAsia="zh-CN" w:bidi="ar"/>
              </w:rPr>
              <w:t>①政府采购预算执行率</w:t>
            </w:r>
            <w:r>
              <w:rPr>
                <w:rStyle w:val="14"/>
                <w:rFonts w:eastAsia="宋体"/>
                <w:lang w:val="en-US" w:eastAsia="zh-CN" w:bidi="ar"/>
              </w:rPr>
              <w:t>=</w:t>
            </w:r>
            <w:r>
              <w:rPr>
                <w:rStyle w:val="13"/>
                <w:lang w:val="en-US" w:eastAsia="zh-CN" w:bidi="ar"/>
              </w:rPr>
              <w:t>（实际政府采购金额</w:t>
            </w:r>
            <w:r>
              <w:rPr>
                <w:rStyle w:val="14"/>
                <w:rFonts w:eastAsia="宋体"/>
                <w:lang w:val="en-US" w:eastAsia="zh-CN" w:bidi="ar"/>
              </w:rPr>
              <w:t>/</w:t>
            </w:r>
            <w:r>
              <w:rPr>
                <w:rStyle w:val="13"/>
                <w:lang w:val="en-US" w:eastAsia="zh-CN" w:bidi="ar"/>
              </w:rPr>
              <w:t>政府采购预算数）</w:t>
            </w:r>
            <w:r>
              <w:rPr>
                <w:rStyle w:val="14"/>
                <w:rFonts w:eastAsia="宋体"/>
                <w:lang w:val="en-US" w:eastAsia="zh-CN" w:bidi="ar"/>
              </w:rPr>
              <w:t>×100%</w:t>
            </w:r>
            <w:r>
              <w:rPr>
                <w:rStyle w:val="13"/>
                <w:lang w:val="en-US" w:eastAsia="zh-CN" w:bidi="ar"/>
              </w:rPr>
              <w:t>；</w:t>
            </w:r>
          </w:p>
          <w:p w14:paraId="6151BF30">
            <w:pPr>
              <w:keepNext w:val="0"/>
              <w:keepLines w:val="0"/>
              <w:widowControl/>
              <w:suppressLineNumbers w:val="0"/>
              <w:jc w:val="left"/>
              <w:textAlignment w:val="center"/>
              <w:rPr>
                <w:rStyle w:val="13"/>
                <w:lang w:val="en-US" w:eastAsia="zh-CN" w:bidi="ar"/>
              </w:rPr>
            </w:pPr>
            <w:r>
              <w:rPr>
                <w:rStyle w:val="13"/>
                <w:lang w:val="en-US" w:eastAsia="zh-CN" w:bidi="ar"/>
              </w:rPr>
              <w:t>政府采购预算：采购机关根据事业发展计划和行政任务编制的、并经过规定程序批准的年度政府采购计划。</w:t>
            </w:r>
          </w:p>
          <w:p w14:paraId="221B60DA">
            <w:pPr>
              <w:keepNext w:val="0"/>
              <w:keepLines w:val="0"/>
              <w:widowControl/>
              <w:suppressLineNumbers w:val="0"/>
              <w:jc w:val="left"/>
              <w:textAlignment w:val="center"/>
              <w:rPr>
                <w:rStyle w:val="13"/>
                <w:lang w:val="en-US" w:eastAsia="zh-CN" w:bidi="ar"/>
              </w:rPr>
            </w:pPr>
            <w:r>
              <w:rPr>
                <w:rStyle w:val="13"/>
                <w:lang w:val="en-US" w:eastAsia="zh-CN" w:bidi="ar"/>
              </w:rPr>
              <w:t>该项得分，完成本年度采购计划的，政府采购执行率≤</w:t>
            </w:r>
            <w:r>
              <w:rPr>
                <w:rStyle w:val="14"/>
                <w:rFonts w:eastAsia="宋体"/>
                <w:lang w:val="en-US" w:eastAsia="zh-CN" w:bidi="ar"/>
              </w:rPr>
              <w:t>100%</w:t>
            </w:r>
            <w:r>
              <w:rPr>
                <w:rStyle w:val="13"/>
                <w:lang w:val="en-US" w:eastAsia="zh-CN" w:bidi="ar"/>
              </w:rPr>
              <w:t>，计</w:t>
            </w:r>
            <w:r>
              <w:rPr>
                <w:rStyle w:val="14"/>
                <w:rFonts w:eastAsia="宋体"/>
                <w:lang w:val="en-US" w:eastAsia="zh-CN" w:bidi="ar"/>
              </w:rPr>
              <w:t>1</w:t>
            </w:r>
            <w:r>
              <w:rPr>
                <w:rStyle w:val="13"/>
                <w:lang w:val="en-US" w:eastAsia="zh-CN" w:bidi="ar"/>
              </w:rPr>
              <w:t>分，每超过</w:t>
            </w:r>
            <w:r>
              <w:rPr>
                <w:rStyle w:val="14"/>
                <w:rFonts w:eastAsia="宋体"/>
                <w:lang w:val="en-US" w:eastAsia="zh-CN" w:bidi="ar"/>
              </w:rPr>
              <w:t>1%</w:t>
            </w:r>
            <w:r>
              <w:rPr>
                <w:rStyle w:val="13"/>
                <w:lang w:val="en-US" w:eastAsia="zh-CN" w:bidi="ar"/>
              </w:rPr>
              <w:t>扣</w:t>
            </w:r>
            <w:r>
              <w:rPr>
                <w:rStyle w:val="14"/>
                <w:rFonts w:eastAsia="宋体"/>
                <w:lang w:val="en-US" w:eastAsia="zh-CN" w:bidi="ar"/>
              </w:rPr>
              <w:t>0.1</w:t>
            </w:r>
            <w:r>
              <w:rPr>
                <w:rStyle w:val="13"/>
                <w:lang w:val="en-US" w:eastAsia="zh-CN" w:bidi="ar"/>
              </w:rPr>
              <w:t>分，扣完为止；</w:t>
            </w:r>
          </w:p>
          <w:p w14:paraId="4869177A">
            <w:pPr>
              <w:keepNext w:val="0"/>
              <w:keepLines w:val="0"/>
              <w:widowControl/>
              <w:suppressLineNumbers w:val="0"/>
              <w:jc w:val="left"/>
              <w:textAlignment w:val="center"/>
              <w:rPr>
                <w:rStyle w:val="13"/>
                <w:lang w:val="en-US" w:eastAsia="zh-CN" w:bidi="ar"/>
              </w:rPr>
            </w:pPr>
            <w:r>
              <w:rPr>
                <w:rStyle w:val="13"/>
                <w:lang w:val="en-US" w:eastAsia="zh-CN" w:bidi="ar"/>
              </w:rPr>
              <w:t>②所有项目依法采购，无规避政府采购或化整为零进行政府采购的行为，并履行验收手续，计0.5分，否则不得分；</w:t>
            </w:r>
          </w:p>
          <w:p w14:paraId="1AA5819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Style w:val="13"/>
                <w:lang w:val="en-US" w:eastAsia="zh-CN" w:bidi="ar"/>
              </w:rPr>
              <w:t>③预算单位建立了政府采购内控制度，计0.5分，否则不得分。</w:t>
            </w:r>
          </w:p>
        </w:tc>
        <w:tc>
          <w:tcPr>
            <w:tcW w:w="2115" w:type="dxa"/>
            <w:tcBorders>
              <w:tl2br w:val="nil"/>
              <w:tr2bl w:val="nil"/>
            </w:tcBorders>
            <w:noWrap w:val="0"/>
            <w:vAlign w:val="center"/>
          </w:tcPr>
          <w:p w14:paraId="0CE2ECE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财政部门批复的本年度部门（单位）预算；本年度部门（单位）决算报表；《政府采购法》。</w:t>
            </w:r>
          </w:p>
        </w:tc>
        <w:tc>
          <w:tcPr>
            <w:tcW w:w="586" w:type="dxa"/>
            <w:tcBorders>
              <w:tl2br w:val="nil"/>
              <w:tr2bl w:val="nil"/>
            </w:tcBorders>
            <w:noWrap w:val="0"/>
            <w:vAlign w:val="center"/>
          </w:tcPr>
          <w:p w14:paraId="3C371CFA">
            <w:pPr>
              <w:jc w:val="left"/>
              <w:rPr>
                <w:rFonts w:hint="eastAsia" w:ascii="Times New Roman" w:hAnsi="Times New Roman" w:eastAsia="宋体" w:cs="Times New Roman"/>
                <w:i w:val="0"/>
                <w:iCs w:val="0"/>
                <w:color w:val="000000"/>
                <w:sz w:val="18"/>
                <w:szCs w:val="18"/>
                <w:u w:val="none"/>
                <w:lang w:val="en-US" w:eastAsia="zh-CN"/>
              </w:rPr>
            </w:pPr>
            <w:r>
              <w:rPr>
                <w:rFonts w:hint="eastAsia" w:ascii="Times New Roman" w:hAnsi="Times New Roman" w:cs="Times New Roman"/>
                <w:i w:val="0"/>
                <w:iCs w:val="0"/>
                <w:color w:val="000000"/>
                <w:sz w:val="18"/>
                <w:szCs w:val="18"/>
                <w:u w:val="none"/>
                <w:lang w:val="en-US" w:eastAsia="zh-CN"/>
              </w:rPr>
              <w:t>2</w:t>
            </w:r>
          </w:p>
        </w:tc>
      </w:tr>
      <w:tr w14:paraId="1BCD7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5" w:hRule="atLeast"/>
          <w:jc w:val="center"/>
        </w:trPr>
        <w:tc>
          <w:tcPr>
            <w:tcW w:w="873" w:type="dxa"/>
            <w:vMerge w:val="continue"/>
            <w:tcBorders>
              <w:tl2br w:val="nil"/>
              <w:tr2bl w:val="nil"/>
            </w:tcBorders>
            <w:noWrap w:val="0"/>
            <w:vAlign w:val="center"/>
          </w:tcPr>
          <w:p w14:paraId="1770AD1E">
            <w:pPr>
              <w:jc w:val="center"/>
              <w:rPr>
                <w:rFonts w:hint="eastAsia" w:ascii="宋体" w:hAnsi="宋体" w:eastAsia="宋体" w:cs="宋体"/>
                <w:i w:val="0"/>
                <w:iCs w:val="0"/>
                <w:color w:val="000000"/>
                <w:sz w:val="18"/>
                <w:szCs w:val="18"/>
                <w:u w:val="none"/>
              </w:rPr>
            </w:pPr>
          </w:p>
        </w:tc>
        <w:tc>
          <w:tcPr>
            <w:tcW w:w="870" w:type="dxa"/>
            <w:vMerge w:val="restart"/>
            <w:tcBorders>
              <w:tl2br w:val="nil"/>
              <w:tr2bl w:val="nil"/>
            </w:tcBorders>
            <w:noWrap w:val="0"/>
            <w:vAlign w:val="center"/>
          </w:tcPr>
          <w:p w14:paraId="670AA137">
            <w:pPr>
              <w:keepNext w:val="0"/>
              <w:keepLines w:val="0"/>
              <w:widowControl/>
              <w:suppressLineNumbers w:val="0"/>
              <w:jc w:val="center"/>
              <w:textAlignment w:val="center"/>
              <w:rPr>
                <w:rStyle w:val="13"/>
                <w:lang w:val="en-US" w:eastAsia="zh-CN" w:bidi="ar"/>
              </w:rPr>
            </w:pPr>
            <w:r>
              <w:rPr>
                <w:rStyle w:val="13"/>
                <w:lang w:val="en-US" w:eastAsia="zh-CN" w:bidi="ar"/>
              </w:rPr>
              <w:t>预算</w:t>
            </w:r>
          </w:p>
          <w:p w14:paraId="74E271F3">
            <w:pPr>
              <w:keepNext w:val="0"/>
              <w:keepLines w:val="0"/>
              <w:widowControl/>
              <w:suppressLineNumbers w:val="0"/>
              <w:jc w:val="center"/>
              <w:textAlignment w:val="center"/>
              <w:rPr>
                <w:rStyle w:val="13"/>
                <w:lang w:val="en-US" w:eastAsia="zh-CN" w:bidi="ar"/>
              </w:rPr>
            </w:pPr>
            <w:r>
              <w:rPr>
                <w:rStyle w:val="13"/>
                <w:lang w:val="en-US" w:eastAsia="zh-CN" w:bidi="ar"/>
              </w:rPr>
              <w:t>管理</w:t>
            </w:r>
          </w:p>
          <w:p w14:paraId="38CA94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13"/>
                <w:lang w:val="en-US" w:eastAsia="zh-CN" w:bidi="ar"/>
              </w:rPr>
              <w:t>（</w:t>
            </w:r>
            <w:r>
              <w:rPr>
                <w:rStyle w:val="14"/>
                <w:rFonts w:eastAsia="宋体"/>
                <w:lang w:val="en-US" w:eastAsia="zh-CN" w:bidi="ar"/>
              </w:rPr>
              <w:t>29</w:t>
            </w:r>
            <w:r>
              <w:rPr>
                <w:rStyle w:val="13"/>
                <w:lang w:val="en-US" w:eastAsia="zh-CN" w:bidi="ar"/>
              </w:rPr>
              <w:t>分）</w:t>
            </w:r>
          </w:p>
        </w:tc>
        <w:tc>
          <w:tcPr>
            <w:tcW w:w="1050" w:type="dxa"/>
            <w:tcBorders>
              <w:tl2br w:val="nil"/>
              <w:tr2bl w:val="nil"/>
            </w:tcBorders>
            <w:noWrap w:val="0"/>
            <w:vAlign w:val="center"/>
          </w:tcPr>
          <w:p w14:paraId="5F5C8079">
            <w:pPr>
              <w:keepNext w:val="0"/>
              <w:keepLines w:val="0"/>
              <w:widowControl/>
              <w:suppressLineNumbers w:val="0"/>
              <w:jc w:val="center"/>
              <w:textAlignment w:val="center"/>
              <w:rPr>
                <w:rStyle w:val="13"/>
                <w:lang w:val="en-US" w:eastAsia="zh-CN" w:bidi="ar"/>
              </w:rPr>
            </w:pPr>
            <w:r>
              <w:rPr>
                <w:rStyle w:val="13"/>
                <w:lang w:val="en-US" w:eastAsia="zh-CN" w:bidi="ar"/>
              </w:rPr>
              <w:t>管理制度</w:t>
            </w:r>
          </w:p>
          <w:p w14:paraId="4D0C92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健全性</w:t>
            </w:r>
          </w:p>
        </w:tc>
        <w:tc>
          <w:tcPr>
            <w:tcW w:w="495" w:type="dxa"/>
            <w:tcBorders>
              <w:tl2br w:val="nil"/>
              <w:tr2bl w:val="nil"/>
            </w:tcBorders>
            <w:noWrap w:val="0"/>
            <w:vAlign w:val="center"/>
          </w:tcPr>
          <w:p w14:paraId="518017C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2570" w:type="dxa"/>
            <w:tcBorders>
              <w:tl2br w:val="nil"/>
              <w:tr2bl w:val="nil"/>
            </w:tcBorders>
            <w:noWrap w:val="0"/>
            <w:vAlign w:val="center"/>
          </w:tcPr>
          <w:p w14:paraId="562F86F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部门（单位）为加强预算管理、规范财务行为而制定的管理制度是否健全完整，用以反映和考核部门（单位）预算管理制度对完成主要职责或促进事业发展的保障情况。</w:t>
            </w:r>
          </w:p>
        </w:tc>
        <w:tc>
          <w:tcPr>
            <w:tcW w:w="5112" w:type="dxa"/>
            <w:tcBorders>
              <w:tl2br w:val="nil"/>
              <w:tr2bl w:val="nil"/>
            </w:tcBorders>
            <w:noWrap w:val="0"/>
            <w:vAlign w:val="center"/>
          </w:tcPr>
          <w:p w14:paraId="468B6E25">
            <w:pPr>
              <w:keepNext w:val="0"/>
              <w:keepLines w:val="0"/>
              <w:widowControl/>
              <w:suppressLineNumbers w:val="0"/>
              <w:jc w:val="left"/>
              <w:textAlignment w:val="center"/>
              <w:rPr>
                <w:rStyle w:val="13"/>
                <w:lang w:val="en-US" w:eastAsia="zh-CN" w:bidi="ar"/>
              </w:rPr>
            </w:pPr>
          </w:p>
          <w:p w14:paraId="547F4DE8">
            <w:pPr>
              <w:keepNext w:val="0"/>
              <w:keepLines w:val="0"/>
              <w:widowControl/>
              <w:suppressLineNumbers w:val="0"/>
              <w:jc w:val="left"/>
              <w:textAlignment w:val="center"/>
              <w:rPr>
                <w:rStyle w:val="13"/>
                <w:lang w:val="en-US" w:eastAsia="zh-CN" w:bidi="ar"/>
              </w:rPr>
            </w:pPr>
            <w:r>
              <w:rPr>
                <w:rStyle w:val="13"/>
                <w:lang w:val="en-US" w:eastAsia="zh-CN" w:bidi="ar"/>
              </w:rPr>
              <w:t>①是否已制定或具有预算资金管理办法、内部财务管理制度、会计核算制度等管理制度；</w:t>
            </w:r>
          </w:p>
          <w:p w14:paraId="63807288">
            <w:pPr>
              <w:keepNext w:val="0"/>
              <w:keepLines w:val="0"/>
              <w:widowControl/>
              <w:suppressLineNumbers w:val="0"/>
              <w:jc w:val="left"/>
              <w:textAlignment w:val="center"/>
              <w:rPr>
                <w:rStyle w:val="13"/>
                <w:lang w:val="en-US" w:eastAsia="zh-CN" w:bidi="ar"/>
              </w:rPr>
            </w:pPr>
            <w:r>
              <w:rPr>
                <w:rStyle w:val="13"/>
                <w:lang w:val="en-US" w:eastAsia="zh-CN" w:bidi="ar"/>
              </w:rPr>
              <w:t>②相关管理制度是否合法、合规、完整；</w:t>
            </w:r>
          </w:p>
          <w:p w14:paraId="73309886">
            <w:pPr>
              <w:keepNext w:val="0"/>
              <w:keepLines w:val="0"/>
              <w:widowControl/>
              <w:suppressLineNumbers w:val="0"/>
              <w:jc w:val="left"/>
              <w:textAlignment w:val="center"/>
              <w:rPr>
                <w:rStyle w:val="13"/>
                <w:lang w:val="en-US" w:eastAsia="zh-CN" w:bidi="ar"/>
              </w:rPr>
            </w:pPr>
            <w:r>
              <w:rPr>
                <w:rStyle w:val="13"/>
                <w:lang w:val="en-US" w:eastAsia="zh-CN" w:bidi="ar"/>
              </w:rPr>
              <w:t>③相关管理制度是否得到有效执行。</w:t>
            </w:r>
          </w:p>
          <w:p w14:paraId="0C0A2B34">
            <w:pPr>
              <w:keepNext w:val="0"/>
              <w:keepLines w:val="0"/>
              <w:widowControl/>
              <w:suppressLineNumbers w:val="0"/>
              <w:jc w:val="left"/>
              <w:textAlignment w:val="center"/>
              <w:rPr>
                <w:rStyle w:val="13"/>
                <w:lang w:val="en-US" w:eastAsia="zh-CN" w:bidi="ar"/>
              </w:rPr>
            </w:pPr>
            <w:r>
              <w:rPr>
                <w:rStyle w:val="13"/>
                <w:lang w:val="en-US" w:eastAsia="zh-CN" w:bidi="ar"/>
              </w:rPr>
              <w:t>④会计人员、机构是否按规定设置；</w:t>
            </w:r>
          </w:p>
          <w:p w14:paraId="2DAAC405">
            <w:pPr>
              <w:keepNext w:val="0"/>
              <w:keepLines w:val="0"/>
              <w:widowControl/>
              <w:suppressLineNumbers w:val="0"/>
              <w:jc w:val="left"/>
              <w:textAlignment w:val="center"/>
              <w:rPr>
                <w:rStyle w:val="13"/>
                <w:lang w:val="en-US" w:eastAsia="zh-CN" w:bidi="ar"/>
              </w:rPr>
            </w:pPr>
            <w:r>
              <w:rPr>
                <w:rStyle w:val="13"/>
                <w:lang w:val="en-US" w:eastAsia="zh-CN" w:bidi="ar"/>
              </w:rPr>
              <w:t>⑤会计基础工作是否健全；</w:t>
            </w:r>
          </w:p>
          <w:p w14:paraId="653CE256">
            <w:pPr>
              <w:keepNext w:val="0"/>
              <w:keepLines w:val="0"/>
              <w:widowControl/>
              <w:suppressLineNumbers w:val="0"/>
              <w:jc w:val="left"/>
              <w:textAlignment w:val="center"/>
              <w:rPr>
                <w:rStyle w:val="13"/>
                <w:lang w:val="en-US" w:eastAsia="zh-CN" w:bidi="ar"/>
              </w:rPr>
            </w:pPr>
            <w:r>
              <w:rPr>
                <w:rStyle w:val="13"/>
                <w:lang w:val="en-US" w:eastAsia="zh-CN" w:bidi="ar"/>
              </w:rPr>
              <w:t>⑥会计档案是否符合规定要求；</w:t>
            </w:r>
          </w:p>
          <w:p w14:paraId="790DB616">
            <w:pPr>
              <w:keepNext w:val="0"/>
              <w:keepLines w:val="0"/>
              <w:widowControl/>
              <w:suppressLineNumbers w:val="0"/>
              <w:jc w:val="left"/>
              <w:textAlignment w:val="center"/>
              <w:rPr>
                <w:rStyle w:val="13"/>
                <w:lang w:val="en-US" w:eastAsia="zh-CN" w:bidi="ar"/>
              </w:rPr>
            </w:pPr>
            <w:r>
              <w:rPr>
                <w:rStyle w:val="13"/>
                <w:lang w:val="en-US" w:eastAsia="zh-CN" w:bidi="ar"/>
              </w:rPr>
              <w:t>⑦项目管理是否规范（包括项目立项、申报、招投标、合同或协议要素、制度建立、按时完工等）。</w:t>
            </w:r>
          </w:p>
          <w:p w14:paraId="6D4F703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Style w:val="13"/>
                <w:lang w:val="en-US" w:eastAsia="zh-CN" w:bidi="ar"/>
              </w:rPr>
              <w:t>以上情况每发现一例不符合要求的扣</w:t>
            </w:r>
            <w:r>
              <w:rPr>
                <w:rStyle w:val="14"/>
                <w:rFonts w:eastAsia="宋体"/>
                <w:lang w:val="en-US" w:eastAsia="zh-CN" w:bidi="ar"/>
              </w:rPr>
              <w:t>1</w:t>
            </w:r>
            <w:r>
              <w:rPr>
                <w:rStyle w:val="13"/>
                <w:lang w:val="en-US" w:eastAsia="zh-CN" w:bidi="ar"/>
              </w:rPr>
              <w:t>分，扣完为止。</w:t>
            </w:r>
          </w:p>
        </w:tc>
        <w:tc>
          <w:tcPr>
            <w:tcW w:w="2115" w:type="dxa"/>
            <w:tcBorders>
              <w:tl2br w:val="nil"/>
              <w:tr2bl w:val="nil"/>
            </w:tcBorders>
            <w:noWrap w:val="0"/>
            <w:vAlign w:val="center"/>
          </w:tcPr>
          <w:p w14:paraId="75F0CED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部门（单位）管理制度。</w:t>
            </w:r>
          </w:p>
        </w:tc>
        <w:tc>
          <w:tcPr>
            <w:tcW w:w="586" w:type="dxa"/>
            <w:tcBorders>
              <w:tl2br w:val="nil"/>
              <w:tr2bl w:val="nil"/>
            </w:tcBorders>
            <w:noWrap w:val="0"/>
            <w:vAlign w:val="center"/>
          </w:tcPr>
          <w:p w14:paraId="1B8E8DE0">
            <w:pPr>
              <w:jc w:val="left"/>
              <w:rPr>
                <w:rFonts w:hint="default" w:ascii="Times New Roman" w:hAnsi="Times New Roman" w:eastAsia="宋体" w:cs="Times New Roman"/>
                <w:i w:val="0"/>
                <w:iCs w:val="0"/>
                <w:color w:val="000000"/>
                <w:sz w:val="18"/>
                <w:szCs w:val="18"/>
                <w:u w:val="none"/>
                <w:lang w:val="en-US" w:eastAsia="zh-CN"/>
              </w:rPr>
            </w:pPr>
            <w:r>
              <w:rPr>
                <w:rFonts w:hint="eastAsia" w:ascii="Times New Roman" w:hAnsi="Times New Roman" w:cs="Times New Roman"/>
                <w:i w:val="0"/>
                <w:iCs w:val="0"/>
                <w:color w:val="000000"/>
                <w:sz w:val="18"/>
                <w:szCs w:val="18"/>
                <w:u w:val="none"/>
                <w:lang w:val="en-US" w:eastAsia="zh-CN"/>
              </w:rPr>
              <w:t>5</w:t>
            </w:r>
          </w:p>
        </w:tc>
      </w:tr>
      <w:tr w14:paraId="28124E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5" w:hRule="atLeast"/>
          <w:jc w:val="center"/>
        </w:trPr>
        <w:tc>
          <w:tcPr>
            <w:tcW w:w="873" w:type="dxa"/>
            <w:vMerge w:val="continue"/>
            <w:tcBorders>
              <w:tl2br w:val="nil"/>
              <w:tr2bl w:val="nil"/>
            </w:tcBorders>
            <w:noWrap w:val="0"/>
            <w:vAlign w:val="center"/>
          </w:tcPr>
          <w:p w14:paraId="2CE17DD7">
            <w:pPr>
              <w:jc w:val="center"/>
              <w:rPr>
                <w:rFonts w:hint="eastAsia" w:ascii="宋体" w:hAnsi="宋体" w:eastAsia="宋体" w:cs="宋体"/>
                <w:i w:val="0"/>
                <w:iCs w:val="0"/>
                <w:color w:val="000000"/>
                <w:sz w:val="18"/>
                <w:szCs w:val="18"/>
                <w:u w:val="none"/>
              </w:rPr>
            </w:pPr>
          </w:p>
        </w:tc>
        <w:tc>
          <w:tcPr>
            <w:tcW w:w="870" w:type="dxa"/>
            <w:vMerge w:val="continue"/>
            <w:tcBorders>
              <w:tl2br w:val="nil"/>
              <w:tr2bl w:val="nil"/>
            </w:tcBorders>
            <w:noWrap w:val="0"/>
            <w:vAlign w:val="center"/>
          </w:tcPr>
          <w:p w14:paraId="3D69D67C">
            <w:pPr>
              <w:jc w:val="center"/>
              <w:rPr>
                <w:rFonts w:hint="eastAsia" w:ascii="宋体" w:hAnsi="宋体" w:eastAsia="宋体" w:cs="宋体"/>
                <w:i w:val="0"/>
                <w:iCs w:val="0"/>
                <w:color w:val="000000"/>
                <w:sz w:val="18"/>
                <w:szCs w:val="18"/>
                <w:u w:val="none"/>
              </w:rPr>
            </w:pPr>
          </w:p>
        </w:tc>
        <w:tc>
          <w:tcPr>
            <w:tcW w:w="1050" w:type="dxa"/>
            <w:tcBorders>
              <w:tl2br w:val="nil"/>
              <w:tr2bl w:val="nil"/>
            </w:tcBorders>
            <w:noWrap w:val="0"/>
            <w:vAlign w:val="center"/>
          </w:tcPr>
          <w:p w14:paraId="04C915A2">
            <w:pPr>
              <w:keepNext w:val="0"/>
              <w:keepLines w:val="0"/>
              <w:widowControl/>
              <w:suppressLineNumbers w:val="0"/>
              <w:jc w:val="center"/>
              <w:textAlignment w:val="center"/>
              <w:rPr>
                <w:rStyle w:val="13"/>
                <w:lang w:val="en-US" w:eastAsia="zh-CN" w:bidi="ar"/>
              </w:rPr>
            </w:pPr>
            <w:r>
              <w:rPr>
                <w:rStyle w:val="13"/>
                <w:lang w:val="en-US" w:eastAsia="zh-CN" w:bidi="ar"/>
              </w:rPr>
              <w:t>资金使用</w:t>
            </w:r>
          </w:p>
          <w:p w14:paraId="521963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合规性</w:t>
            </w:r>
          </w:p>
        </w:tc>
        <w:tc>
          <w:tcPr>
            <w:tcW w:w="495" w:type="dxa"/>
            <w:tcBorders>
              <w:tl2br w:val="nil"/>
              <w:tr2bl w:val="nil"/>
            </w:tcBorders>
            <w:noWrap w:val="0"/>
            <w:vAlign w:val="center"/>
          </w:tcPr>
          <w:p w14:paraId="35A1E5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2570" w:type="dxa"/>
            <w:tcBorders>
              <w:tl2br w:val="nil"/>
              <w:tr2bl w:val="nil"/>
            </w:tcBorders>
            <w:noWrap w:val="0"/>
            <w:vAlign w:val="center"/>
          </w:tcPr>
          <w:p w14:paraId="570C3FC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资金使用符合相关的财务管理制度规定，用以反映和考核项目资金的规范运行情况。</w:t>
            </w:r>
          </w:p>
        </w:tc>
        <w:tc>
          <w:tcPr>
            <w:tcW w:w="5112" w:type="dxa"/>
            <w:tcBorders>
              <w:tl2br w:val="nil"/>
              <w:tr2bl w:val="nil"/>
            </w:tcBorders>
            <w:noWrap w:val="0"/>
            <w:vAlign w:val="center"/>
          </w:tcPr>
          <w:p w14:paraId="4965E67C">
            <w:pPr>
              <w:keepNext w:val="0"/>
              <w:keepLines w:val="0"/>
              <w:widowControl/>
              <w:suppressLineNumbers w:val="0"/>
              <w:jc w:val="left"/>
              <w:textAlignment w:val="center"/>
              <w:rPr>
                <w:rStyle w:val="13"/>
                <w:lang w:val="en-US" w:eastAsia="zh-CN" w:bidi="ar"/>
              </w:rPr>
            </w:pPr>
          </w:p>
          <w:p w14:paraId="30E3003F">
            <w:pPr>
              <w:keepNext w:val="0"/>
              <w:keepLines w:val="0"/>
              <w:widowControl/>
              <w:suppressLineNumbers w:val="0"/>
              <w:jc w:val="left"/>
              <w:textAlignment w:val="center"/>
              <w:rPr>
                <w:rStyle w:val="13"/>
                <w:lang w:val="en-US" w:eastAsia="zh-CN" w:bidi="ar"/>
              </w:rPr>
            </w:pPr>
            <w:r>
              <w:rPr>
                <w:rStyle w:val="13"/>
                <w:lang w:val="en-US" w:eastAsia="zh-CN" w:bidi="ar"/>
              </w:rPr>
              <w:t>①符合国家财经法规和财务管理制度以及有关专项资金管理办法的规定，计</w:t>
            </w:r>
            <w:r>
              <w:rPr>
                <w:rStyle w:val="14"/>
                <w:rFonts w:eastAsia="宋体"/>
                <w:lang w:val="en-US" w:eastAsia="zh-CN" w:bidi="ar"/>
              </w:rPr>
              <w:t>1</w:t>
            </w:r>
            <w:r>
              <w:rPr>
                <w:rStyle w:val="13"/>
                <w:lang w:val="en-US" w:eastAsia="zh-CN" w:bidi="ar"/>
              </w:rPr>
              <w:t>分，</w:t>
            </w:r>
            <w:r>
              <w:rPr>
                <w:rStyle w:val="14"/>
                <w:rFonts w:eastAsia="宋体"/>
                <w:lang w:val="en-US" w:eastAsia="zh-CN" w:bidi="ar"/>
              </w:rPr>
              <w:t>1</w:t>
            </w:r>
            <w:r>
              <w:rPr>
                <w:rStyle w:val="13"/>
                <w:lang w:val="en-US" w:eastAsia="zh-CN" w:bidi="ar"/>
              </w:rPr>
              <w:t>例不符合扣</w:t>
            </w:r>
            <w:r>
              <w:rPr>
                <w:rStyle w:val="14"/>
                <w:rFonts w:eastAsia="宋体"/>
                <w:lang w:val="en-US" w:eastAsia="zh-CN" w:bidi="ar"/>
              </w:rPr>
              <w:t>0.5</w:t>
            </w:r>
            <w:r>
              <w:rPr>
                <w:rStyle w:val="13"/>
                <w:lang w:val="en-US" w:eastAsia="zh-CN" w:bidi="ar"/>
              </w:rPr>
              <w:t>分；</w:t>
            </w:r>
          </w:p>
          <w:p w14:paraId="1EB741CC">
            <w:pPr>
              <w:keepNext w:val="0"/>
              <w:keepLines w:val="0"/>
              <w:widowControl/>
              <w:suppressLineNumbers w:val="0"/>
              <w:jc w:val="left"/>
              <w:textAlignment w:val="center"/>
              <w:rPr>
                <w:rStyle w:val="13"/>
                <w:lang w:val="en-US" w:eastAsia="zh-CN" w:bidi="ar"/>
              </w:rPr>
            </w:pPr>
            <w:r>
              <w:rPr>
                <w:rStyle w:val="13"/>
                <w:lang w:val="en-US" w:eastAsia="zh-CN" w:bidi="ar"/>
              </w:rPr>
              <w:t>②资金的支付有完整的审批程序和手续，计</w:t>
            </w:r>
            <w:r>
              <w:rPr>
                <w:rStyle w:val="14"/>
                <w:rFonts w:eastAsia="宋体"/>
                <w:lang w:val="en-US" w:eastAsia="zh-CN" w:bidi="ar"/>
              </w:rPr>
              <w:t>1</w:t>
            </w:r>
            <w:r>
              <w:rPr>
                <w:rStyle w:val="13"/>
                <w:lang w:val="en-US" w:eastAsia="zh-CN" w:bidi="ar"/>
              </w:rPr>
              <w:t>分，</w:t>
            </w:r>
            <w:r>
              <w:rPr>
                <w:rStyle w:val="14"/>
                <w:rFonts w:eastAsia="宋体"/>
                <w:lang w:val="en-US" w:eastAsia="zh-CN" w:bidi="ar"/>
              </w:rPr>
              <w:t>1</w:t>
            </w:r>
            <w:r>
              <w:rPr>
                <w:rStyle w:val="13"/>
                <w:lang w:val="en-US" w:eastAsia="zh-CN" w:bidi="ar"/>
              </w:rPr>
              <w:t>例不符合扣</w:t>
            </w:r>
            <w:r>
              <w:rPr>
                <w:rStyle w:val="14"/>
                <w:rFonts w:eastAsia="宋体"/>
                <w:lang w:val="en-US" w:eastAsia="zh-CN" w:bidi="ar"/>
              </w:rPr>
              <w:t>0.5</w:t>
            </w:r>
            <w:r>
              <w:rPr>
                <w:rStyle w:val="13"/>
                <w:lang w:val="en-US" w:eastAsia="zh-CN" w:bidi="ar"/>
              </w:rPr>
              <w:t>分；</w:t>
            </w:r>
          </w:p>
          <w:p w14:paraId="4A2D88E8">
            <w:pPr>
              <w:keepNext w:val="0"/>
              <w:keepLines w:val="0"/>
              <w:widowControl/>
              <w:suppressLineNumbers w:val="0"/>
              <w:jc w:val="left"/>
              <w:textAlignment w:val="center"/>
              <w:rPr>
                <w:rStyle w:val="13"/>
                <w:lang w:val="en-US" w:eastAsia="zh-CN" w:bidi="ar"/>
              </w:rPr>
            </w:pPr>
            <w:r>
              <w:rPr>
                <w:rStyle w:val="13"/>
                <w:lang w:val="en-US" w:eastAsia="zh-CN" w:bidi="ar"/>
              </w:rPr>
              <w:t>③重大项目开支和大额资金使用经过单位党组集体研究决策，计</w:t>
            </w:r>
            <w:r>
              <w:rPr>
                <w:rStyle w:val="14"/>
                <w:rFonts w:eastAsia="宋体"/>
                <w:lang w:val="en-US" w:eastAsia="zh-CN" w:bidi="ar"/>
              </w:rPr>
              <w:t>1</w:t>
            </w:r>
            <w:r>
              <w:rPr>
                <w:rStyle w:val="13"/>
                <w:lang w:val="en-US" w:eastAsia="zh-CN" w:bidi="ar"/>
              </w:rPr>
              <w:t>分，</w:t>
            </w:r>
            <w:r>
              <w:rPr>
                <w:rStyle w:val="14"/>
                <w:rFonts w:eastAsia="宋体"/>
                <w:lang w:val="en-US" w:eastAsia="zh-CN" w:bidi="ar"/>
              </w:rPr>
              <w:t>1</w:t>
            </w:r>
            <w:r>
              <w:rPr>
                <w:rStyle w:val="13"/>
                <w:lang w:val="en-US" w:eastAsia="zh-CN" w:bidi="ar"/>
              </w:rPr>
              <w:t>例不符合扣</w:t>
            </w:r>
            <w:r>
              <w:rPr>
                <w:rStyle w:val="14"/>
                <w:rFonts w:eastAsia="宋体"/>
                <w:lang w:val="en-US" w:eastAsia="zh-CN" w:bidi="ar"/>
              </w:rPr>
              <w:t>0.5</w:t>
            </w:r>
            <w:r>
              <w:rPr>
                <w:rStyle w:val="13"/>
                <w:lang w:val="en-US" w:eastAsia="zh-CN" w:bidi="ar"/>
              </w:rPr>
              <w:t>分；</w:t>
            </w:r>
          </w:p>
          <w:p w14:paraId="1D43F0AC">
            <w:pPr>
              <w:keepNext w:val="0"/>
              <w:keepLines w:val="0"/>
              <w:widowControl/>
              <w:suppressLineNumbers w:val="0"/>
              <w:jc w:val="left"/>
              <w:textAlignment w:val="center"/>
              <w:rPr>
                <w:rStyle w:val="13"/>
                <w:lang w:val="en-US" w:eastAsia="zh-CN" w:bidi="ar"/>
              </w:rPr>
            </w:pPr>
            <w:r>
              <w:rPr>
                <w:rStyle w:val="13"/>
                <w:lang w:val="en-US" w:eastAsia="zh-CN" w:bidi="ar"/>
              </w:rPr>
              <w:t>④符合项目预算批复或合同规定的用途，计</w:t>
            </w:r>
            <w:r>
              <w:rPr>
                <w:rStyle w:val="14"/>
                <w:rFonts w:eastAsia="宋体"/>
                <w:lang w:val="en-US" w:eastAsia="zh-CN" w:bidi="ar"/>
              </w:rPr>
              <w:t>1</w:t>
            </w:r>
            <w:r>
              <w:rPr>
                <w:rStyle w:val="13"/>
                <w:lang w:val="en-US" w:eastAsia="zh-CN" w:bidi="ar"/>
              </w:rPr>
              <w:t>分，</w:t>
            </w:r>
            <w:r>
              <w:rPr>
                <w:rStyle w:val="14"/>
                <w:rFonts w:eastAsia="宋体"/>
                <w:lang w:val="en-US" w:eastAsia="zh-CN" w:bidi="ar"/>
              </w:rPr>
              <w:t>1</w:t>
            </w:r>
            <w:r>
              <w:rPr>
                <w:rStyle w:val="13"/>
                <w:lang w:val="en-US" w:eastAsia="zh-CN" w:bidi="ar"/>
              </w:rPr>
              <w:t>例不符合扣</w:t>
            </w:r>
            <w:r>
              <w:rPr>
                <w:rStyle w:val="14"/>
                <w:rFonts w:eastAsia="宋体"/>
                <w:lang w:val="en-US" w:eastAsia="zh-CN" w:bidi="ar"/>
              </w:rPr>
              <w:t>0.5</w:t>
            </w:r>
            <w:r>
              <w:rPr>
                <w:rStyle w:val="13"/>
                <w:lang w:val="en-US" w:eastAsia="zh-CN" w:bidi="ar"/>
              </w:rPr>
              <w:t>分；</w:t>
            </w:r>
          </w:p>
          <w:p w14:paraId="5ECA8476">
            <w:pPr>
              <w:keepNext w:val="0"/>
              <w:keepLines w:val="0"/>
              <w:widowControl/>
              <w:suppressLineNumbers w:val="0"/>
              <w:jc w:val="left"/>
              <w:textAlignment w:val="center"/>
              <w:rPr>
                <w:rStyle w:val="13"/>
                <w:lang w:val="en-US" w:eastAsia="zh-CN" w:bidi="ar"/>
              </w:rPr>
            </w:pPr>
            <w:r>
              <w:rPr>
                <w:rStyle w:val="13"/>
                <w:lang w:val="en-US" w:eastAsia="zh-CN" w:bidi="ar"/>
              </w:rPr>
              <w:t>⑤没有截留、挤占、挪用、虚列支出等情况，计</w:t>
            </w:r>
            <w:r>
              <w:rPr>
                <w:rStyle w:val="14"/>
                <w:rFonts w:eastAsia="宋体"/>
                <w:lang w:val="en-US" w:eastAsia="zh-CN" w:bidi="ar"/>
              </w:rPr>
              <w:t>1</w:t>
            </w:r>
            <w:r>
              <w:rPr>
                <w:rStyle w:val="13"/>
                <w:lang w:val="en-US" w:eastAsia="zh-CN" w:bidi="ar"/>
              </w:rPr>
              <w:t>分，发生</w:t>
            </w:r>
            <w:r>
              <w:rPr>
                <w:rStyle w:val="14"/>
                <w:rFonts w:eastAsia="宋体"/>
                <w:lang w:val="en-US" w:eastAsia="zh-CN" w:bidi="ar"/>
              </w:rPr>
              <w:t>1</w:t>
            </w:r>
            <w:r>
              <w:rPr>
                <w:rStyle w:val="13"/>
                <w:lang w:val="en-US" w:eastAsia="zh-CN" w:bidi="ar"/>
              </w:rPr>
              <w:t>例不符合本指标的现象</w:t>
            </w:r>
            <w:r>
              <w:rPr>
                <w:rStyle w:val="14"/>
                <w:rFonts w:eastAsia="宋体"/>
                <w:lang w:val="en-US" w:eastAsia="zh-CN" w:bidi="ar"/>
              </w:rPr>
              <w:t>7</w:t>
            </w:r>
            <w:r>
              <w:rPr>
                <w:rStyle w:val="13"/>
                <w:lang w:val="en-US" w:eastAsia="zh-CN" w:bidi="ar"/>
              </w:rPr>
              <w:t>分全扣；</w:t>
            </w:r>
          </w:p>
          <w:p w14:paraId="7A1E3955">
            <w:pPr>
              <w:keepNext w:val="0"/>
              <w:keepLines w:val="0"/>
              <w:widowControl/>
              <w:suppressLineNumbers w:val="0"/>
              <w:jc w:val="left"/>
              <w:textAlignment w:val="center"/>
              <w:rPr>
                <w:rStyle w:val="13"/>
                <w:lang w:val="en-US" w:eastAsia="zh-CN" w:bidi="ar"/>
              </w:rPr>
            </w:pPr>
            <w:r>
              <w:rPr>
                <w:rStyle w:val="13"/>
                <w:lang w:val="en-US" w:eastAsia="zh-CN" w:bidi="ar"/>
              </w:rPr>
              <w:t>⑥原始凭证的取得真实有效，计</w:t>
            </w:r>
            <w:r>
              <w:rPr>
                <w:rStyle w:val="14"/>
                <w:rFonts w:eastAsia="宋体"/>
                <w:lang w:val="en-US" w:eastAsia="zh-CN" w:bidi="ar"/>
              </w:rPr>
              <w:t>1</w:t>
            </w:r>
            <w:r>
              <w:rPr>
                <w:rStyle w:val="13"/>
                <w:lang w:val="en-US" w:eastAsia="zh-CN" w:bidi="ar"/>
              </w:rPr>
              <w:t>分，</w:t>
            </w:r>
            <w:r>
              <w:rPr>
                <w:rStyle w:val="14"/>
                <w:rFonts w:eastAsia="宋体"/>
                <w:lang w:val="en-US" w:eastAsia="zh-CN" w:bidi="ar"/>
              </w:rPr>
              <w:t>1</w:t>
            </w:r>
            <w:r>
              <w:rPr>
                <w:rStyle w:val="13"/>
                <w:lang w:val="en-US" w:eastAsia="zh-CN" w:bidi="ar"/>
              </w:rPr>
              <w:t>例不符合扣</w:t>
            </w:r>
            <w:r>
              <w:rPr>
                <w:rStyle w:val="14"/>
                <w:rFonts w:eastAsia="宋体"/>
                <w:lang w:val="en-US" w:eastAsia="zh-CN" w:bidi="ar"/>
              </w:rPr>
              <w:t>0.5</w:t>
            </w:r>
            <w:r>
              <w:rPr>
                <w:rStyle w:val="13"/>
                <w:lang w:val="en-US" w:eastAsia="zh-CN" w:bidi="ar"/>
              </w:rPr>
              <w:t>分；</w:t>
            </w:r>
          </w:p>
          <w:p w14:paraId="31ED188A">
            <w:pPr>
              <w:keepNext w:val="0"/>
              <w:keepLines w:val="0"/>
              <w:widowControl/>
              <w:suppressLineNumbers w:val="0"/>
              <w:jc w:val="left"/>
              <w:textAlignment w:val="center"/>
              <w:rPr>
                <w:rStyle w:val="13"/>
                <w:lang w:val="en-US" w:eastAsia="zh-CN" w:bidi="ar"/>
              </w:rPr>
            </w:pPr>
            <w:r>
              <w:rPr>
                <w:rStyle w:val="13"/>
                <w:lang w:val="en-US" w:eastAsia="zh-CN" w:bidi="ar"/>
              </w:rPr>
              <w:t>⑦无超标准发放津补贴、奖金、无用公款支付应个人支付的款项，计</w:t>
            </w:r>
            <w:r>
              <w:rPr>
                <w:rStyle w:val="14"/>
                <w:rFonts w:eastAsia="宋体"/>
                <w:lang w:val="en-US" w:eastAsia="zh-CN" w:bidi="ar"/>
              </w:rPr>
              <w:t>1</w:t>
            </w:r>
            <w:r>
              <w:rPr>
                <w:rStyle w:val="13"/>
                <w:lang w:val="en-US" w:eastAsia="zh-CN" w:bidi="ar"/>
              </w:rPr>
              <w:t>分，</w:t>
            </w:r>
            <w:r>
              <w:rPr>
                <w:rStyle w:val="14"/>
                <w:rFonts w:eastAsia="宋体"/>
                <w:lang w:val="en-US" w:eastAsia="zh-CN" w:bidi="ar"/>
              </w:rPr>
              <w:t>1</w:t>
            </w:r>
            <w:r>
              <w:rPr>
                <w:rStyle w:val="13"/>
                <w:lang w:val="en-US" w:eastAsia="zh-CN" w:bidi="ar"/>
              </w:rPr>
              <w:t>例不符合扣</w:t>
            </w:r>
            <w:r>
              <w:rPr>
                <w:rStyle w:val="14"/>
                <w:rFonts w:eastAsia="宋体"/>
                <w:lang w:val="en-US" w:eastAsia="zh-CN" w:bidi="ar"/>
              </w:rPr>
              <w:t>0.5</w:t>
            </w:r>
            <w:r>
              <w:rPr>
                <w:rStyle w:val="13"/>
                <w:lang w:val="en-US" w:eastAsia="zh-CN" w:bidi="ar"/>
              </w:rPr>
              <w:t>分。</w:t>
            </w:r>
          </w:p>
          <w:p w14:paraId="61BF52C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Style w:val="13"/>
                <w:lang w:val="en-US" w:eastAsia="zh-CN" w:bidi="ar"/>
              </w:rPr>
              <w:t>⑧如评级单位评价年度出现严重的违纪违法事件，评价等级在原来的基础上下调一个等级。</w:t>
            </w:r>
          </w:p>
        </w:tc>
        <w:tc>
          <w:tcPr>
            <w:tcW w:w="2115" w:type="dxa"/>
            <w:tcBorders>
              <w:tl2br w:val="nil"/>
              <w:tr2bl w:val="nil"/>
            </w:tcBorders>
            <w:noWrap w:val="0"/>
            <w:vAlign w:val="center"/>
          </w:tcPr>
          <w:p w14:paraId="3EF1ECC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财务管理制度、资金管理制度、资金分配办法、支出凭证、预算批复、合同、验收资料等。</w:t>
            </w:r>
          </w:p>
        </w:tc>
        <w:tc>
          <w:tcPr>
            <w:tcW w:w="586" w:type="dxa"/>
            <w:tcBorders>
              <w:tl2br w:val="nil"/>
              <w:tr2bl w:val="nil"/>
            </w:tcBorders>
            <w:noWrap w:val="0"/>
            <w:vAlign w:val="center"/>
          </w:tcPr>
          <w:p w14:paraId="1D73DCE1">
            <w:pPr>
              <w:jc w:val="left"/>
              <w:rPr>
                <w:rFonts w:hint="eastAsia" w:ascii="Times New Roman" w:hAnsi="Times New Roman" w:eastAsia="宋体" w:cs="Times New Roman"/>
                <w:i w:val="0"/>
                <w:iCs w:val="0"/>
                <w:color w:val="000000"/>
                <w:sz w:val="18"/>
                <w:szCs w:val="18"/>
                <w:u w:val="none"/>
                <w:lang w:val="en-US" w:eastAsia="zh-CN"/>
              </w:rPr>
            </w:pPr>
            <w:r>
              <w:rPr>
                <w:rFonts w:hint="eastAsia" w:ascii="Times New Roman" w:hAnsi="Times New Roman" w:cs="Times New Roman"/>
                <w:i w:val="0"/>
                <w:iCs w:val="0"/>
                <w:color w:val="000000"/>
                <w:sz w:val="18"/>
                <w:szCs w:val="18"/>
                <w:u w:val="none"/>
                <w:lang w:val="en-US" w:eastAsia="zh-CN"/>
              </w:rPr>
              <w:t>7</w:t>
            </w:r>
          </w:p>
        </w:tc>
      </w:tr>
      <w:tr w14:paraId="59C041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55" w:hRule="atLeast"/>
          <w:jc w:val="center"/>
        </w:trPr>
        <w:tc>
          <w:tcPr>
            <w:tcW w:w="873" w:type="dxa"/>
            <w:vMerge w:val="continue"/>
            <w:tcBorders>
              <w:tl2br w:val="nil"/>
              <w:tr2bl w:val="nil"/>
            </w:tcBorders>
            <w:noWrap w:val="0"/>
            <w:vAlign w:val="center"/>
          </w:tcPr>
          <w:p w14:paraId="093A7839">
            <w:pPr>
              <w:jc w:val="center"/>
              <w:rPr>
                <w:rFonts w:hint="eastAsia" w:ascii="宋体" w:hAnsi="宋体" w:eastAsia="宋体" w:cs="宋体"/>
                <w:i w:val="0"/>
                <w:iCs w:val="0"/>
                <w:color w:val="000000"/>
                <w:sz w:val="18"/>
                <w:szCs w:val="18"/>
                <w:u w:val="none"/>
              </w:rPr>
            </w:pPr>
          </w:p>
        </w:tc>
        <w:tc>
          <w:tcPr>
            <w:tcW w:w="870" w:type="dxa"/>
            <w:vMerge w:val="continue"/>
            <w:tcBorders>
              <w:tl2br w:val="nil"/>
              <w:tr2bl w:val="nil"/>
            </w:tcBorders>
            <w:noWrap w:val="0"/>
            <w:vAlign w:val="center"/>
          </w:tcPr>
          <w:p w14:paraId="46C95718">
            <w:pPr>
              <w:jc w:val="center"/>
              <w:rPr>
                <w:rFonts w:hint="eastAsia" w:ascii="宋体" w:hAnsi="宋体" w:eastAsia="宋体" w:cs="宋体"/>
                <w:i w:val="0"/>
                <w:iCs w:val="0"/>
                <w:color w:val="000000"/>
                <w:sz w:val="18"/>
                <w:szCs w:val="18"/>
                <w:u w:val="none"/>
              </w:rPr>
            </w:pPr>
          </w:p>
        </w:tc>
        <w:tc>
          <w:tcPr>
            <w:tcW w:w="1050" w:type="dxa"/>
            <w:tcBorders>
              <w:tl2br w:val="nil"/>
              <w:tr2bl w:val="nil"/>
            </w:tcBorders>
            <w:noWrap w:val="0"/>
            <w:vAlign w:val="center"/>
          </w:tcPr>
          <w:p w14:paraId="08D9CD66">
            <w:pPr>
              <w:keepNext w:val="0"/>
              <w:keepLines w:val="0"/>
              <w:widowControl/>
              <w:suppressLineNumbers w:val="0"/>
              <w:jc w:val="center"/>
              <w:textAlignment w:val="center"/>
              <w:rPr>
                <w:rStyle w:val="13"/>
                <w:lang w:val="en-US" w:eastAsia="zh-CN" w:bidi="ar"/>
              </w:rPr>
            </w:pPr>
            <w:r>
              <w:rPr>
                <w:rStyle w:val="13"/>
                <w:lang w:val="en-US" w:eastAsia="zh-CN" w:bidi="ar"/>
              </w:rPr>
              <w:t>信息</w:t>
            </w:r>
          </w:p>
          <w:p w14:paraId="54A45E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公开性</w:t>
            </w:r>
          </w:p>
        </w:tc>
        <w:tc>
          <w:tcPr>
            <w:tcW w:w="495" w:type="dxa"/>
            <w:tcBorders>
              <w:tl2br w:val="nil"/>
              <w:tr2bl w:val="nil"/>
            </w:tcBorders>
            <w:noWrap w:val="0"/>
            <w:vAlign w:val="center"/>
          </w:tcPr>
          <w:p w14:paraId="38DC54B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2570" w:type="dxa"/>
            <w:tcBorders>
              <w:tl2br w:val="nil"/>
              <w:tr2bl w:val="nil"/>
            </w:tcBorders>
            <w:noWrap w:val="0"/>
            <w:vAlign w:val="center"/>
          </w:tcPr>
          <w:p w14:paraId="0B518E9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部门（单位）是否按照政府信息公开有关规定公开相关预决算信息，基础信息是否完善，用以反映和考核部门预决算管理的公开透明，基础信息对预算管理工作的支撑情况。</w:t>
            </w:r>
          </w:p>
        </w:tc>
        <w:tc>
          <w:tcPr>
            <w:tcW w:w="5112" w:type="dxa"/>
            <w:tcBorders>
              <w:tl2br w:val="nil"/>
              <w:tr2bl w:val="nil"/>
            </w:tcBorders>
            <w:noWrap w:val="0"/>
            <w:vAlign w:val="center"/>
          </w:tcPr>
          <w:p w14:paraId="7FAC5C2B">
            <w:pPr>
              <w:keepNext w:val="0"/>
              <w:keepLines w:val="0"/>
              <w:widowControl/>
              <w:suppressLineNumbers w:val="0"/>
              <w:jc w:val="left"/>
              <w:textAlignment w:val="center"/>
              <w:rPr>
                <w:rStyle w:val="13"/>
                <w:lang w:val="en-US" w:eastAsia="zh-CN" w:bidi="ar"/>
              </w:rPr>
            </w:pPr>
          </w:p>
          <w:p w14:paraId="71C646B5">
            <w:pPr>
              <w:keepNext w:val="0"/>
              <w:keepLines w:val="0"/>
              <w:widowControl/>
              <w:suppressLineNumbers w:val="0"/>
              <w:jc w:val="left"/>
              <w:textAlignment w:val="center"/>
              <w:rPr>
                <w:rStyle w:val="13"/>
                <w:lang w:val="en-US" w:eastAsia="zh-CN" w:bidi="ar"/>
              </w:rPr>
            </w:pPr>
            <w:r>
              <w:rPr>
                <w:rStyle w:val="13"/>
                <w:lang w:val="en-US" w:eastAsia="zh-CN" w:bidi="ar"/>
              </w:rPr>
              <w:t>①无涉密情况的预算单位按规定及时、准确、完整的公开预决算和绩效管理信息，计</w:t>
            </w:r>
            <w:r>
              <w:rPr>
                <w:rStyle w:val="14"/>
                <w:rFonts w:eastAsia="宋体"/>
                <w:lang w:val="en-US" w:eastAsia="zh-CN" w:bidi="ar"/>
              </w:rPr>
              <w:t>1</w:t>
            </w:r>
            <w:r>
              <w:rPr>
                <w:rStyle w:val="13"/>
                <w:lang w:val="en-US" w:eastAsia="zh-CN" w:bidi="ar"/>
              </w:rPr>
              <w:t>分，否则，酌情扣分；</w:t>
            </w:r>
          </w:p>
          <w:p w14:paraId="1BE1A5CB">
            <w:pPr>
              <w:keepNext w:val="0"/>
              <w:keepLines w:val="0"/>
              <w:widowControl/>
              <w:suppressLineNumbers w:val="0"/>
              <w:jc w:val="left"/>
              <w:textAlignment w:val="center"/>
              <w:rPr>
                <w:rStyle w:val="13"/>
                <w:lang w:val="en-US" w:eastAsia="zh-CN" w:bidi="ar"/>
              </w:rPr>
            </w:pPr>
            <w:r>
              <w:rPr>
                <w:rStyle w:val="13"/>
                <w:lang w:val="en-US" w:eastAsia="zh-CN" w:bidi="ar"/>
              </w:rPr>
              <w:t>②基础数据信息和会计信息资料真实、准确、完整，计</w:t>
            </w:r>
            <w:r>
              <w:rPr>
                <w:rStyle w:val="14"/>
                <w:rFonts w:eastAsia="宋体"/>
                <w:lang w:val="en-US" w:eastAsia="zh-CN" w:bidi="ar"/>
              </w:rPr>
              <w:t>1</w:t>
            </w:r>
            <w:r>
              <w:rPr>
                <w:rStyle w:val="13"/>
                <w:lang w:val="en-US" w:eastAsia="zh-CN" w:bidi="ar"/>
              </w:rPr>
              <w:t>分，否则，酌情扣分。</w:t>
            </w:r>
          </w:p>
          <w:p w14:paraId="0214CB8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Style w:val="13"/>
                <w:lang w:val="en-US" w:eastAsia="zh-CN" w:bidi="ar"/>
              </w:rPr>
              <w:t>③按规定及时、准确、完整的公开部门（单位）整体支出自评报告和专项资金支出自评报告及对应评分表的，计2分；否则，酌情扣分；</w:t>
            </w:r>
          </w:p>
        </w:tc>
        <w:tc>
          <w:tcPr>
            <w:tcW w:w="2115" w:type="dxa"/>
            <w:tcBorders>
              <w:tl2br w:val="nil"/>
              <w:tr2bl w:val="nil"/>
            </w:tcBorders>
            <w:noWrap w:val="0"/>
            <w:vAlign w:val="center"/>
          </w:tcPr>
          <w:p w14:paraId="03A1AB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部门（单位）预决算公开资料、基础数据信息和会计信息资料、财政部门批复的本年度部门（单位）预算；本年度部门（单位）决算报表。</w:t>
            </w:r>
          </w:p>
        </w:tc>
        <w:tc>
          <w:tcPr>
            <w:tcW w:w="586" w:type="dxa"/>
            <w:tcBorders>
              <w:tl2br w:val="nil"/>
              <w:tr2bl w:val="nil"/>
            </w:tcBorders>
            <w:noWrap w:val="0"/>
            <w:vAlign w:val="center"/>
          </w:tcPr>
          <w:p w14:paraId="4BF6C61B">
            <w:pPr>
              <w:jc w:val="left"/>
              <w:rPr>
                <w:rFonts w:hint="eastAsia" w:ascii="Times New Roman" w:hAnsi="Times New Roman" w:eastAsia="宋体" w:cs="Times New Roman"/>
                <w:i w:val="0"/>
                <w:iCs w:val="0"/>
                <w:color w:val="000000"/>
                <w:sz w:val="18"/>
                <w:szCs w:val="18"/>
                <w:u w:val="none"/>
                <w:lang w:val="en-US" w:eastAsia="zh-CN"/>
              </w:rPr>
            </w:pPr>
            <w:r>
              <w:rPr>
                <w:rFonts w:hint="eastAsia" w:ascii="Times New Roman" w:hAnsi="Times New Roman" w:cs="Times New Roman"/>
                <w:i w:val="0"/>
                <w:iCs w:val="0"/>
                <w:color w:val="000000"/>
                <w:sz w:val="18"/>
                <w:szCs w:val="18"/>
                <w:u w:val="none"/>
                <w:lang w:val="en-US" w:eastAsia="zh-CN"/>
              </w:rPr>
              <w:t>4</w:t>
            </w:r>
          </w:p>
        </w:tc>
      </w:tr>
      <w:tr w14:paraId="6C576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0" w:hRule="atLeast"/>
          <w:jc w:val="center"/>
        </w:trPr>
        <w:tc>
          <w:tcPr>
            <w:tcW w:w="873" w:type="dxa"/>
            <w:vMerge w:val="continue"/>
            <w:tcBorders>
              <w:tl2br w:val="nil"/>
              <w:tr2bl w:val="nil"/>
            </w:tcBorders>
            <w:noWrap w:val="0"/>
            <w:vAlign w:val="center"/>
          </w:tcPr>
          <w:p w14:paraId="072BF4D5">
            <w:pPr>
              <w:jc w:val="center"/>
              <w:rPr>
                <w:rFonts w:hint="eastAsia" w:ascii="宋体" w:hAnsi="宋体" w:eastAsia="宋体" w:cs="宋体"/>
                <w:i w:val="0"/>
                <w:iCs w:val="0"/>
                <w:color w:val="000000"/>
                <w:sz w:val="18"/>
                <w:szCs w:val="18"/>
                <w:u w:val="none"/>
              </w:rPr>
            </w:pPr>
          </w:p>
        </w:tc>
        <w:tc>
          <w:tcPr>
            <w:tcW w:w="870" w:type="dxa"/>
            <w:vMerge w:val="continue"/>
            <w:tcBorders>
              <w:tl2br w:val="nil"/>
              <w:tr2bl w:val="nil"/>
            </w:tcBorders>
            <w:noWrap w:val="0"/>
            <w:vAlign w:val="center"/>
          </w:tcPr>
          <w:p w14:paraId="131F4B9D">
            <w:pPr>
              <w:jc w:val="center"/>
              <w:rPr>
                <w:rFonts w:hint="eastAsia" w:ascii="宋体" w:hAnsi="宋体" w:eastAsia="宋体" w:cs="宋体"/>
                <w:i w:val="0"/>
                <w:iCs w:val="0"/>
                <w:color w:val="000000"/>
                <w:sz w:val="18"/>
                <w:szCs w:val="18"/>
                <w:u w:val="none"/>
              </w:rPr>
            </w:pPr>
          </w:p>
        </w:tc>
        <w:tc>
          <w:tcPr>
            <w:tcW w:w="1050" w:type="dxa"/>
            <w:tcBorders>
              <w:tl2br w:val="nil"/>
              <w:tr2bl w:val="nil"/>
            </w:tcBorders>
            <w:noWrap w:val="0"/>
            <w:vAlign w:val="center"/>
          </w:tcPr>
          <w:p w14:paraId="7731E172">
            <w:pPr>
              <w:keepNext w:val="0"/>
              <w:keepLines w:val="0"/>
              <w:widowControl/>
              <w:suppressLineNumbers w:val="0"/>
              <w:jc w:val="center"/>
              <w:textAlignment w:val="center"/>
              <w:rPr>
                <w:rStyle w:val="14"/>
                <w:rFonts w:eastAsia="宋体"/>
                <w:lang w:val="en-US" w:eastAsia="zh-CN" w:bidi="ar"/>
              </w:rPr>
            </w:pPr>
            <w:r>
              <w:rPr>
                <w:rStyle w:val="13"/>
                <w:lang w:val="en-US" w:eastAsia="zh-CN" w:bidi="ar"/>
              </w:rPr>
              <w:t>非税收入</w:t>
            </w:r>
            <w:r>
              <w:rPr>
                <w:rStyle w:val="14"/>
                <w:rFonts w:eastAsia="宋体"/>
                <w:lang w:val="en-US" w:eastAsia="zh-CN" w:bidi="ar"/>
              </w:rPr>
              <w:t xml:space="preserve"> </w:t>
            </w:r>
          </w:p>
          <w:p w14:paraId="4E15F6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管理</w:t>
            </w:r>
          </w:p>
        </w:tc>
        <w:tc>
          <w:tcPr>
            <w:tcW w:w="495" w:type="dxa"/>
            <w:tcBorders>
              <w:tl2br w:val="nil"/>
              <w:tr2bl w:val="nil"/>
            </w:tcBorders>
            <w:noWrap w:val="0"/>
            <w:vAlign w:val="center"/>
          </w:tcPr>
          <w:p w14:paraId="074BC0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70" w:type="dxa"/>
            <w:tcBorders>
              <w:tl2br w:val="nil"/>
              <w:tr2bl w:val="nil"/>
            </w:tcBorders>
            <w:noWrap w:val="0"/>
            <w:vAlign w:val="center"/>
          </w:tcPr>
          <w:p w14:paraId="2ED076C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反映部门非税收入的使用、管理情况。</w:t>
            </w:r>
          </w:p>
        </w:tc>
        <w:tc>
          <w:tcPr>
            <w:tcW w:w="5112" w:type="dxa"/>
            <w:tcBorders>
              <w:tl2br w:val="nil"/>
              <w:tr2bl w:val="nil"/>
            </w:tcBorders>
            <w:noWrap w:val="0"/>
            <w:vAlign w:val="center"/>
          </w:tcPr>
          <w:p w14:paraId="392E9AD7">
            <w:pPr>
              <w:keepNext w:val="0"/>
              <w:keepLines w:val="0"/>
              <w:widowControl/>
              <w:suppressLineNumbers w:val="0"/>
              <w:jc w:val="left"/>
              <w:textAlignment w:val="center"/>
              <w:rPr>
                <w:rStyle w:val="13"/>
                <w:lang w:val="en-US" w:eastAsia="zh-CN" w:bidi="ar"/>
              </w:rPr>
            </w:pPr>
          </w:p>
          <w:p w14:paraId="3137BB18">
            <w:pPr>
              <w:keepNext w:val="0"/>
              <w:keepLines w:val="0"/>
              <w:widowControl/>
              <w:suppressLineNumbers w:val="0"/>
              <w:jc w:val="left"/>
              <w:textAlignment w:val="center"/>
              <w:rPr>
                <w:rStyle w:val="13"/>
                <w:lang w:val="en-US" w:eastAsia="zh-CN" w:bidi="ar"/>
              </w:rPr>
            </w:pPr>
            <w:r>
              <w:rPr>
                <w:rStyle w:val="13"/>
                <w:lang w:val="en-US" w:eastAsia="zh-CN" w:bidi="ar"/>
              </w:rPr>
              <w:t>①实行收支两条线，计</w:t>
            </w:r>
            <w:r>
              <w:rPr>
                <w:rStyle w:val="14"/>
                <w:rFonts w:eastAsia="宋体"/>
                <w:lang w:val="en-US" w:eastAsia="zh-CN" w:bidi="ar"/>
              </w:rPr>
              <w:t>0.5</w:t>
            </w:r>
            <w:r>
              <w:rPr>
                <w:rStyle w:val="13"/>
                <w:lang w:val="en-US" w:eastAsia="zh-CN" w:bidi="ar"/>
              </w:rPr>
              <w:t>分，否则，计</w:t>
            </w:r>
            <w:r>
              <w:rPr>
                <w:rStyle w:val="14"/>
                <w:rFonts w:eastAsia="宋体"/>
                <w:lang w:val="en-US" w:eastAsia="zh-CN" w:bidi="ar"/>
              </w:rPr>
              <w:t>0</w:t>
            </w:r>
            <w:r>
              <w:rPr>
                <w:rStyle w:val="13"/>
                <w:lang w:val="en-US" w:eastAsia="zh-CN" w:bidi="ar"/>
              </w:rPr>
              <w:t>分；</w:t>
            </w:r>
          </w:p>
          <w:p w14:paraId="189264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Style w:val="13"/>
                <w:lang w:val="en-US" w:eastAsia="zh-CN" w:bidi="ar"/>
              </w:rPr>
              <w:t>②未发生截留、坐支或转移，计</w:t>
            </w:r>
            <w:r>
              <w:rPr>
                <w:rStyle w:val="14"/>
                <w:rFonts w:eastAsia="宋体"/>
                <w:lang w:val="en-US" w:eastAsia="zh-CN" w:bidi="ar"/>
              </w:rPr>
              <w:t>0.5</w:t>
            </w:r>
            <w:r>
              <w:rPr>
                <w:rStyle w:val="13"/>
                <w:lang w:val="en-US" w:eastAsia="zh-CN" w:bidi="ar"/>
              </w:rPr>
              <w:t>分，否则，计</w:t>
            </w:r>
            <w:r>
              <w:rPr>
                <w:rStyle w:val="14"/>
                <w:rFonts w:eastAsia="宋体"/>
                <w:lang w:val="en-US" w:eastAsia="zh-CN" w:bidi="ar"/>
              </w:rPr>
              <w:t>0</w:t>
            </w:r>
            <w:r>
              <w:rPr>
                <w:rStyle w:val="13"/>
                <w:lang w:val="en-US" w:eastAsia="zh-CN" w:bidi="ar"/>
              </w:rPr>
              <w:t>分。</w:t>
            </w:r>
          </w:p>
        </w:tc>
        <w:tc>
          <w:tcPr>
            <w:tcW w:w="2115" w:type="dxa"/>
            <w:tcBorders>
              <w:tl2br w:val="nil"/>
              <w:tr2bl w:val="nil"/>
            </w:tcBorders>
            <w:noWrap w:val="0"/>
            <w:vAlign w:val="center"/>
          </w:tcPr>
          <w:p w14:paraId="793DB8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本年度部门（单位）决算报表。</w:t>
            </w:r>
          </w:p>
        </w:tc>
        <w:tc>
          <w:tcPr>
            <w:tcW w:w="586" w:type="dxa"/>
            <w:tcBorders>
              <w:tl2br w:val="nil"/>
              <w:tr2bl w:val="nil"/>
            </w:tcBorders>
            <w:noWrap w:val="0"/>
            <w:vAlign w:val="center"/>
          </w:tcPr>
          <w:p w14:paraId="5F025043">
            <w:pPr>
              <w:jc w:val="left"/>
              <w:rPr>
                <w:rFonts w:hint="eastAsia" w:ascii="Times New Roman" w:hAnsi="Times New Roman" w:eastAsia="宋体" w:cs="Times New Roman"/>
                <w:i w:val="0"/>
                <w:iCs w:val="0"/>
                <w:color w:val="000000"/>
                <w:sz w:val="18"/>
                <w:szCs w:val="18"/>
                <w:u w:val="none"/>
                <w:lang w:val="en-US" w:eastAsia="zh-CN"/>
              </w:rPr>
            </w:pPr>
            <w:r>
              <w:rPr>
                <w:rFonts w:hint="eastAsia" w:ascii="Times New Roman" w:hAnsi="Times New Roman" w:cs="Times New Roman"/>
                <w:i w:val="0"/>
                <w:iCs w:val="0"/>
                <w:color w:val="000000"/>
                <w:sz w:val="18"/>
                <w:szCs w:val="18"/>
                <w:u w:val="none"/>
                <w:lang w:val="en-US" w:eastAsia="zh-CN"/>
              </w:rPr>
              <w:t>1</w:t>
            </w:r>
          </w:p>
        </w:tc>
      </w:tr>
      <w:tr w14:paraId="66B53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55" w:hRule="atLeast"/>
          <w:jc w:val="center"/>
        </w:trPr>
        <w:tc>
          <w:tcPr>
            <w:tcW w:w="873" w:type="dxa"/>
            <w:vMerge w:val="continue"/>
            <w:tcBorders>
              <w:tl2br w:val="nil"/>
              <w:tr2bl w:val="nil"/>
            </w:tcBorders>
            <w:noWrap w:val="0"/>
            <w:vAlign w:val="center"/>
          </w:tcPr>
          <w:p w14:paraId="0636BEF6">
            <w:pPr>
              <w:jc w:val="center"/>
              <w:rPr>
                <w:rFonts w:hint="eastAsia" w:ascii="宋体" w:hAnsi="宋体" w:eastAsia="宋体" w:cs="宋体"/>
                <w:i w:val="0"/>
                <w:iCs w:val="0"/>
                <w:color w:val="000000"/>
                <w:sz w:val="18"/>
                <w:szCs w:val="18"/>
                <w:u w:val="none"/>
              </w:rPr>
            </w:pPr>
          </w:p>
        </w:tc>
        <w:tc>
          <w:tcPr>
            <w:tcW w:w="870" w:type="dxa"/>
            <w:vMerge w:val="continue"/>
            <w:tcBorders>
              <w:tl2br w:val="nil"/>
              <w:tr2bl w:val="nil"/>
            </w:tcBorders>
            <w:noWrap w:val="0"/>
            <w:vAlign w:val="center"/>
          </w:tcPr>
          <w:p w14:paraId="622B5554">
            <w:pPr>
              <w:jc w:val="center"/>
              <w:rPr>
                <w:rFonts w:hint="eastAsia" w:ascii="宋体" w:hAnsi="宋体" w:eastAsia="宋体" w:cs="宋体"/>
                <w:i w:val="0"/>
                <w:iCs w:val="0"/>
                <w:color w:val="000000"/>
                <w:sz w:val="18"/>
                <w:szCs w:val="18"/>
                <w:u w:val="none"/>
              </w:rPr>
            </w:pPr>
          </w:p>
        </w:tc>
        <w:tc>
          <w:tcPr>
            <w:tcW w:w="1050" w:type="dxa"/>
            <w:tcBorders>
              <w:tl2br w:val="nil"/>
              <w:tr2bl w:val="nil"/>
            </w:tcBorders>
            <w:noWrap w:val="0"/>
            <w:vAlign w:val="center"/>
          </w:tcPr>
          <w:p w14:paraId="3015B1DD">
            <w:pPr>
              <w:keepNext w:val="0"/>
              <w:keepLines w:val="0"/>
              <w:widowControl/>
              <w:suppressLineNumbers w:val="0"/>
              <w:jc w:val="center"/>
              <w:textAlignment w:val="center"/>
              <w:rPr>
                <w:rStyle w:val="13"/>
                <w:lang w:val="en-US" w:eastAsia="zh-CN" w:bidi="ar"/>
              </w:rPr>
            </w:pPr>
            <w:r>
              <w:rPr>
                <w:rStyle w:val="13"/>
                <w:lang w:val="en-US" w:eastAsia="zh-CN" w:bidi="ar"/>
              </w:rPr>
              <w:t>绩效自评</w:t>
            </w:r>
          </w:p>
          <w:p w14:paraId="68A90EC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管理情况</w:t>
            </w:r>
          </w:p>
        </w:tc>
        <w:tc>
          <w:tcPr>
            <w:tcW w:w="495" w:type="dxa"/>
            <w:tcBorders>
              <w:tl2br w:val="nil"/>
              <w:tr2bl w:val="nil"/>
            </w:tcBorders>
            <w:noWrap w:val="0"/>
            <w:vAlign w:val="center"/>
          </w:tcPr>
          <w:p w14:paraId="120A41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2570" w:type="dxa"/>
            <w:tcBorders>
              <w:tl2br w:val="nil"/>
              <w:tr2bl w:val="nil"/>
            </w:tcBorders>
            <w:noWrap w:val="0"/>
            <w:vAlign w:val="center"/>
          </w:tcPr>
          <w:p w14:paraId="3200618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部门（单位）绩效自评管理情况。</w:t>
            </w:r>
          </w:p>
        </w:tc>
        <w:tc>
          <w:tcPr>
            <w:tcW w:w="5112" w:type="dxa"/>
            <w:tcBorders>
              <w:tl2br w:val="nil"/>
              <w:tr2bl w:val="nil"/>
            </w:tcBorders>
            <w:noWrap w:val="0"/>
            <w:vAlign w:val="center"/>
          </w:tcPr>
          <w:p w14:paraId="47777E5D">
            <w:pPr>
              <w:keepNext w:val="0"/>
              <w:keepLines w:val="0"/>
              <w:widowControl/>
              <w:suppressLineNumbers w:val="0"/>
              <w:jc w:val="left"/>
              <w:textAlignment w:val="center"/>
              <w:rPr>
                <w:rStyle w:val="13"/>
                <w:lang w:val="en-US" w:eastAsia="zh-CN" w:bidi="ar"/>
              </w:rPr>
            </w:pPr>
          </w:p>
          <w:p w14:paraId="74E16B3C">
            <w:pPr>
              <w:keepNext w:val="0"/>
              <w:keepLines w:val="0"/>
              <w:widowControl/>
              <w:suppressLineNumbers w:val="0"/>
              <w:jc w:val="left"/>
              <w:textAlignment w:val="center"/>
              <w:rPr>
                <w:rStyle w:val="13"/>
                <w:lang w:val="en-US" w:eastAsia="zh-CN" w:bidi="ar"/>
              </w:rPr>
            </w:pPr>
            <w:r>
              <w:rPr>
                <w:rStyle w:val="13"/>
                <w:lang w:val="en-US" w:eastAsia="zh-CN" w:bidi="ar"/>
              </w:rPr>
              <w:t>①是否按要求开展部门（单位）整体支出绩效自评和专项资金支出自评工作。</w:t>
            </w:r>
          </w:p>
          <w:p w14:paraId="200DB9B8">
            <w:pPr>
              <w:keepNext w:val="0"/>
              <w:keepLines w:val="0"/>
              <w:widowControl/>
              <w:suppressLineNumbers w:val="0"/>
              <w:jc w:val="left"/>
              <w:textAlignment w:val="center"/>
              <w:rPr>
                <w:rStyle w:val="13"/>
                <w:lang w:val="en-US" w:eastAsia="zh-CN" w:bidi="ar"/>
              </w:rPr>
            </w:pPr>
            <w:r>
              <w:rPr>
                <w:rStyle w:val="13"/>
                <w:lang w:val="en-US" w:eastAsia="zh-CN" w:bidi="ar"/>
              </w:rPr>
              <w:t>②是否及时报送绩效自评报告；</w:t>
            </w:r>
          </w:p>
          <w:p w14:paraId="27F93347">
            <w:pPr>
              <w:keepNext w:val="0"/>
              <w:keepLines w:val="0"/>
              <w:widowControl/>
              <w:suppressLineNumbers w:val="0"/>
              <w:jc w:val="left"/>
              <w:textAlignment w:val="center"/>
              <w:rPr>
                <w:rStyle w:val="13"/>
                <w:lang w:val="en-US" w:eastAsia="zh-CN" w:bidi="ar"/>
              </w:rPr>
            </w:pPr>
            <w:r>
              <w:rPr>
                <w:rStyle w:val="13"/>
                <w:lang w:val="en-US" w:eastAsia="zh-CN" w:bidi="ar"/>
              </w:rPr>
              <w:t>③绩效自评报告是否完整，数据是否全面、真实、准确，绩效指标是否细化量化和科学合理；</w:t>
            </w:r>
          </w:p>
          <w:p w14:paraId="6D7A56B1">
            <w:pPr>
              <w:keepNext w:val="0"/>
              <w:keepLines w:val="0"/>
              <w:widowControl/>
              <w:suppressLineNumbers w:val="0"/>
              <w:jc w:val="left"/>
              <w:textAlignment w:val="center"/>
              <w:rPr>
                <w:rStyle w:val="13"/>
                <w:lang w:val="en-US" w:eastAsia="zh-CN" w:bidi="ar"/>
              </w:rPr>
            </w:pPr>
            <w:r>
              <w:rPr>
                <w:rStyle w:val="13"/>
                <w:lang w:val="en-US" w:eastAsia="zh-CN" w:bidi="ar"/>
              </w:rPr>
              <w:t>④绩效自评反映的问题是否具体，意见是否可行，自评发现的问题是否整改；</w:t>
            </w:r>
          </w:p>
          <w:p w14:paraId="7AD6C62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该项得分，①、②、③、④各计</w:t>
            </w:r>
            <w:r>
              <w:rPr>
                <w:rStyle w:val="14"/>
                <w:rFonts w:eastAsia="宋体"/>
                <w:lang w:val="en-US" w:eastAsia="zh-CN" w:bidi="ar"/>
              </w:rPr>
              <w:t>1</w:t>
            </w:r>
            <w:r>
              <w:rPr>
                <w:rStyle w:val="13"/>
                <w:lang w:val="en-US" w:eastAsia="zh-CN" w:bidi="ar"/>
              </w:rPr>
              <w:t>分。</w:t>
            </w:r>
          </w:p>
        </w:tc>
        <w:tc>
          <w:tcPr>
            <w:tcW w:w="2115" w:type="dxa"/>
            <w:tcBorders>
              <w:tl2br w:val="nil"/>
              <w:tr2bl w:val="nil"/>
            </w:tcBorders>
            <w:noWrap w:val="0"/>
            <w:vAlign w:val="center"/>
          </w:tcPr>
          <w:p w14:paraId="567B488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部门（单位）绩效管理制度；工作协同机制；现场绩效评价实际情况；自评报告及相关文件。</w:t>
            </w:r>
          </w:p>
        </w:tc>
        <w:tc>
          <w:tcPr>
            <w:tcW w:w="586" w:type="dxa"/>
            <w:tcBorders>
              <w:tl2br w:val="nil"/>
              <w:tr2bl w:val="nil"/>
            </w:tcBorders>
            <w:noWrap w:val="0"/>
            <w:vAlign w:val="center"/>
          </w:tcPr>
          <w:p w14:paraId="7130EC23">
            <w:pPr>
              <w:jc w:val="left"/>
              <w:rPr>
                <w:rFonts w:hint="eastAsia" w:ascii="Times New Roman" w:hAnsi="Times New Roman" w:eastAsia="宋体" w:cs="Times New Roman"/>
                <w:i w:val="0"/>
                <w:iCs w:val="0"/>
                <w:color w:val="000000"/>
                <w:sz w:val="18"/>
                <w:szCs w:val="18"/>
                <w:u w:val="none"/>
                <w:lang w:val="en-US" w:eastAsia="zh-CN"/>
              </w:rPr>
            </w:pPr>
            <w:r>
              <w:rPr>
                <w:rFonts w:hint="eastAsia" w:ascii="Times New Roman" w:hAnsi="Times New Roman" w:cs="Times New Roman"/>
                <w:i w:val="0"/>
                <w:iCs w:val="0"/>
                <w:color w:val="000000"/>
                <w:sz w:val="18"/>
                <w:szCs w:val="18"/>
                <w:u w:val="none"/>
                <w:lang w:val="en-US" w:eastAsia="zh-CN"/>
              </w:rPr>
              <w:t>7</w:t>
            </w:r>
          </w:p>
        </w:tc>
      </w:tr>
      <w:tr w14:paraId="4CB4F8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0" w:hRule="atLeast"/>
          <w:jc w:val="center"/>
        </w:trPr>
        <w:tc>
          <w:tcPr>
            <w:tcW w:w="873" w:type="dxa"/>
            <w:vMerge w:val="continue"/>
            <w:tcBorders>
              <w:tl2br w:val="nil"/>
              <w:tr2bl w:val="nil"/>
            </w:tcBorders>
            <w:noWrap w:val="0"/>
            <w:vAlign w:val="center"/>
          </w:tcPr>
          <w:p w14:paraId="7D74E708">
            <w:pPr>
              <w:jc w:val="center"/>
              <w:rPr>
                <w:rFonts w:hint="eastAsia" w:ascii="宋体" w:hAnsi="宋体" w:eastAsia="宋体" w:cs="宋体"/>
                <w:i w:val="0"/>
                <w:iCs w:val="0"/>
                <w:color w:val="000000"/>
                <w:sz w:val="18"/>
                <w:szCs w:val="18"/>
                <w:u w:val="none"/>
              </w:rPr>
            </w:pPr>
          </w:p>
        </w:tc>
        <w:tc>
          <w:tcPr>
            <w:tcW w:w="870" w:type="dxa"/>
            <w:vMerge w:val="continue"/>
            <w:tcBorders>
              <w:tl2br w:val="nil"/>
              <w:tr2bl w:val="nil"/>
            </w:tcBorders>
            <w:noWrap w:val="0"/>
            <w:vAlign w:val="center"/>
          </w:tcPr>
          <w:p w14:paraId="071C9943">
            <w:pPr>
              <w:jc w:val="center"/>
              <w:rPr>
                <w:rFonts w:hint="eastAsia" w:ascii="宋体" w:hAnsi="宋体" w:eastAsia="宋体" w:cs="宋体"/>
                <w:i w:val="0"/>
                <w:iCs w:val="0"/>
                <w:color w:val="000000"/>
                <w:sz w:val="18"/>
                <w:szCs w:val="18"/>
                <w:u w:val="none"/>
              </w:rPr>
            </w:pPr>
          </w:p>
        </w:tc>
        <w:tc>
          <w:tcPr>
            <w:tcW w:w="1050" w:type="dxa"/>
            <w:tcBorders>
              <w:tl2br w:val="nil"/>
              <w:tr2bl w:val="nil"/>
            </w:tcBorders>
            <w:noWrap w:val="0"/>
            <w:vAlign w:val="center"/>
          </w:tcPr>
          <w:p w14:paraId="7B1B0F5A">
            <w:pPr>
              <w:keepNext w:val="0"/>
              <w:keepLines w:val="0"/>
              <w:widowControl/>
              <w:suppressLineNumbers w:val="0"/>
              <w:jc w:val="center"/>
              <w:textAlignment w:val="center"/>
              <w:rPr>
                <w:rStyle w:val="13"/>
                <w:lang w:val="en-US" w:eastAsia="zh-CN" w:bidi="ar"/>
              </w:rPr>
            </w:pPr>
            <w:r>
              <w:rPr>
                <w:rStyle w:val="13"/>
                <w:lang w:val="en-US" w:eastAsia="zh-CN" w:bidi="ar"/>
              </w:rPr>
              <w:t>重点绩效</w:t>
            </w:r>
          </w:p>
          <w:p w14:paraId="78722861">
            <w:pPr>
              <w:keepNext w:val="0"/>
              <w:keepLines w:val="0"/>
              <w:widowControl/>
              <w:suppressLineNumbers w:val="0"/>
              <w:jc w:val="center"/>
              <w:textAlignment w:val="center"/>
              <w:rPr>
                <w:rStyle w:val="13"/>
                <w:lang w:val="en-US" w:eastAsia="zh-CN" w:bidi="ar"/>
              </w:rPr>
            </w:pPr>
            <w:r>
              <w:rPr>
                <w:rStyle w:val="13"/>
                <w:lang w:val="en-US" w:eastAsia="zh-CN" w:bidi="ar"/>
              </w:rPr>
              <w:t>评价整改</w:t>
            </w:r>
          </w:p>
          <w:p w14:paraId="2F181F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情况</w:t>
            </w:r>
          </w:p>
        </w:tc>
        <w:tc>
          <w:tcPr>
            <w:tcW w:w="495" w:type="dxa"/>
            <w:tcBorders>
              <w:tl2br w:val="nil"/>
              <w:tr2bl w:val="nil"/>
            </w:tcBorders>
            <w:noWrap w:val="0"/>
            <w:vAlign w:val="center"/>
          </w:tcPr>
          <w:p w14:paraId="776B5A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2570" w:type="dxa"/>
            <w:tcBorders>
              <w:tl2br w:val="nil"/>
              <w:tr2bl w:val="nil"/>
            </w:tcBorders>
            <w:noWrap w:val="0"/>
            <w:vAlign w:val="center"/>
          </w:tcPr>
          <w:p w14:paraId="6167B6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部门（单位）上轮评价问题整改情况。</w:t>
            </w:r>
          </w:p>
        </w:tc>
        <w:tc>
          <w:tcPr>
            <w:tcW w:w="5112" w:type="dxa"/>
            <w:tcBorders>
              <w:tl2br w:val="nil"/>
              <w:tr2bl w:val="nil"/>
            </w:tcBorders>
            <w:noWrap w:val="0"/>
            <w:vAlign w:val="center"/>
          </w:tcPr>
          <w:p w14:paraId="523193AD">
            <w:pPr>
              <w:keepNext w:val="0"/>
              <w:keepLines w:val="0"/>
              <w:widowControl/>
              <w:suppressLineNumbers w:val="0"/>
              <w:jc w:val="left"/>
              <w:textAlignment w:val="center"/>
              <w:rPr>
                <w:rStyle w:val="13"/>
                <w:lang w:val="en-US" w:eastAsia="zh-CN" w:bidi="ar"/>
              </w:rPr>
            </w:pPr>
          </w:p>
          <w:p w14:paraId="2FA746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Style w:val="13"/>
                <w:lang w:val="en-US" w:eastAsia="zh-CN" w:bidi="ar"/>
              </w:rPr>
              <w:t>上轮重点评价问题全部整改，计3分；上轮重点评价问题部分整改，计</w:t>
            </w:r>
            <w:r>
              <w:rPr>
                <w:rStyle w:val="14"/>
                <w:rFonts w:eastAsia="宋体"/>
                <w:lang w:val="en-US" w:eastAsia="zh-CN" w:bidi="ar"/>
              </w:rPr>
              <w:t>1</w:t>
            </w:r>
            <w:r>
              <w:rPr>
                <w:rStyle w:val="13"/>
                <w:lang w:val="en-US" w:eastAsia="zh-CN" w:bidi="ar"/>
              </w:rPr>
              <w:t>分；上轮重点评价问题未整改且无整改情况说明的不计分。</w:t>
            </w:r>
          </w:p>
        </w:tc>
        <w:tc>
          <w:tcPr>
            <w:tcW w:w="2115" w:type="dxa"/>
            <w:tcBorders>
              <w:tl2br w:val="nil"/>
              <w:tr2bl w:val="nil"/>
            </w:tcBorders>
            <w:noWrap w:val="0"/>
            <w:vAlign w:val="center"/>
          </w:tcPr>
          <w:p w14:paraId="5E080C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部门（单位）上轮绩效评价报告及对应的整改资料。</w:t>
            </w:r>
          </w:p>
        </w:tc>
        <w:tc>
          <w:tcPr>
            <w:tcW w:w="586" w:type="dxa"/>
            <w:tcBorders>
              <w:tl2br w:val="nil"/>
              <w:tr2bl w:val="nil"/>
            </w:tcBorders>
            <w:noWrap w:val="0"/>
            <w:vAlign w:val="center"/>
          </w:tcPr>
          <w:p w14:paraId="2BE2FA65">
            <w:pPr>
              <w:jc w:val="left"/>
              <w:rPr>
                <w:rFonts w:hint="eastAsia" w:ascii="Times New Roman" w:hAnsi="Times New Roman" w:eastAsia="宋体" w:cs="Times New Roman"/>
                <w:i w:val="0"/>
                <w:iCs w:val="0"/>
                <w:color w:val="000000"/>
                <w:sz w:val="18"/>
                <w:szCs w:val="18"/>
                <w:u w:val="none"/>
                <w:lang w:val="en-US" w:eastAsia="zh-CN"/>
              </w:rPr>
            </w:pPr>
            <w:r>
              <w:rPr>
                <w:rFonts w:hint="eastAsia" w:ascii="Times New Roman" w:hAnsi="Times New Roman" w:cs="Times New Roman"/>
                <w:i w:val="0"/>
                <w:iCs w:val="0"/>
                <w:color w:val="000000"/>
                <w:sz w:val="18"/>
                <w:szCs w:val="18"/>
                <w:u w:val="none"/>
                <w:lang w:val="en-US" w:eastAsia="zh-CN"/>
              </w:rPr>
              <w:t>3</w:t>
            </w:r>
          </w:p>
        </w:tc>
      </w:tr>
      <w:tr w14:paraId="08D39B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80" w:hRule="atLeast"/>
          <w:jc w:val="center"/>
        </w:trPr>
        <w:tc>
          <w:tcPr>
            <w:tcW w:w="873" w:type="dxa"/>
            <w:vMerge w:val="continue"/>
            <w:tcBorders>
              <w:tl2br w:val="nil"/>
              <w:tr2bl w:val="nil"/>
            </w:tcBorders>
            <w:noWrap w:val="0"/>
            <w:vAlign w:val="center"/>
          </w:tcPr>
          <w:p w14:paraId="5B253AED">
            <w:pPr>
              <w:jc w:val="center"/>
              <w:rPr>
                <w:rFonts w:hint="eastAsia" w:ascii="宋体" w:hAnsi="宋体" w:eastAsia="宋体" w:cs="宋体"/>
                <w:i w:val="0"/>
                <w:iCs w:val="0"/>
                <w:color w:val="000000"/>
                <w:sz w:val="18"/>
                <w:szCs w:val="18"/>
                <w:u w:val="none"/>
              </w:rPr>
            </w:pPr>
          </w:p>
        </w:tc>
        <w:tc>
          <w:tcPr>
            <w:tcW w:w="870" w:type="dxa"/>
            <w:vMerge w:val="restart"/>
            <w:tcBorders>
              <w:tl2br w:val="nil"/>
              <w:tr2bl w:val="nil"/>
            </w:tcBorders>
            <w:noWrap w:val="0"/>
            <w:vAlign w:val="center"/>
          </w:tcPr>
          <w:p w14:paraId="3B34867D">
            <w:pPr>
              <w:keepNext w:val="0"/>
              <w:keepLines w:val="0"/>
              <w:widowControl/>
              <w:suppressLineNumbers w:val="0"/>
              <w:jc w:val="center"/>
              <w:textAlignment w:val="center"/>
              <w:rPr>
                <w:rStyle w:val="13"/>
                <w:lang w:val="en-US" w:eastAsia="zh-CN" w:bidi="ar"/>
              </w:rPr>
            </w:pPr>
            <w:r>
              <w:rPr>
                <w:rStyle w:val="13"/>
                <w:lang w:val="en-US" w:eastAsia="zh-CN" w:bidi="ar"/>
              </w:rPr>
              <w:t>资产</w:t>
            </w:r>
          </w:p>
          <w:p w14:paraId="2930E8A3">
            <w:pPr>
              <w:keepNext w:val="0"/>
              <w:keepLines w:val="0"/>
              <w:widowControl/>
              <w:suppressLineNumbers w:val="0"/>
              <w:jc w:val="center"/>
              <w:textAlignment w:val="center"/>
              <w:rPr>
                <w:rStyle w:val="13"/>
                <w:lang w:val="en-US" w:eastAsia="zh-CN" w:bidi="ar"/>
              </w:rPr>
            </w:pPr>
            <w:r>
              <w:rPr>
                <w:rStyle w:val="13"/>
                <w:lang w:val="en-US" w:eastAsia="zh-CN" w:bidi="ar"/>
              </w:rPr>
              <w:t>管理</w:t>
            </w:r>
          </w:p>
          <w:p w14:paraId="53F1A6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13"/>
                <w:lang w:val="en-US" w:eastAsia="zh-CN" w:bidi="ar"/>
              </w:rPr>
              <w:t>（5分）</w:t>
            </w:r>
          </w:p>
        </w:tc>
        <w:tc>
          <w:tcPr>
            <w:tcW w:w="1050" w:type="dxa"/>
            <w:tcBorders>
              <w:tl2br w:val="nil"/>
              <w:tr2bl w:val="nil"/>
            </w:tcBorders>
            <w:noWrap w:val="0"/>
            <w:vAlign w:val="center"/>
          </w:tcPr>
          <w:p w14:paraId="13C30A7D">
            <w:pPr>
              <w:keepNext w:val="0"/>
              <w:keepLines w:val="0"/>
              <w:widowControl/>
              <w:suppressLineNumbers w:val="0"/>
              <w:jc w:val="center"/>
              <w:textAlignment w:val="center"/>
              <w:rPr>
                <w:rStyle w:val="13"/>
                <w:lang w:val="en-US" w:eastAsia="zh-CN" w:bidi="ar"/>
              </w:rPr>
            </w:pPr>
            <w:r>
              <w:rPr>
                <w:rStyle w:val="13"/>
                <w:lang w:val="en-US" w:eastAsia="zh-CN" w:bidi="ar"/>
              </w:rPr>
              <w:t>资产管理</w:t>
            </w:r>
          </w:p>
          <w:p w14:paraId="5CAB6A0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制度健全性</w:t>
            </w:r>
          </w:p>
        </w:tc>
        <w:tc>
          <w:tcPr>
            <w:tcW w:w="495" w:type="dxa"/>
            <w:tcBorders>
              <w:tl2br w:val="nil"/>
              <w:tr2bl w:val="nil"/>
            </w:tcBorders>
            <w:noWrap w:val="0"/>
            <w:vAlign w:val="center"/>
          </w:tcPr>
          <w:p w14:paraId="2BA39B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70" w:type="dxa"/>
            <w:tcBorders>
              <w:tl2br w:val="nil"/>
              <w:tr2bl w:val="nil"/>
            </w:tcBorders>
            <w:noWrap w:val="0"/>
            <w:vAlign w:val="center"/>
          </w:tcPr>
          <w:p w14:paraId="4FA71AE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部门（单位）为加强资产管理、规范资产管理行为而制定的管理制度是否健全完整，用以反映和考核部门资产管理制度对完成主要职责或促进社会发展的保障情况。</w:t>
            </w:r>
          </w:p>
        </w:tc>
        <w:tc>
          <w:tcPr>
            <w:tcW w:w="5112" w:type="dxa"/>
            <w:tcBorders>
              <w:tl2br w:val="nil"/>
              <w:tr2bl w:val="nil"/>
            </w:tcBorders>
            <w:noWrap w:val="0"/>
            <w:vAlign w:val="center"/>
          </w:tcPr>
          <w:p w14:paraId="1BF5FFC1">
            <w:pPr>
              <w:keepNext w:val="0"/>
              <w:keepLines w:val="0"/>
              <w:widowControl/>
              <w:suppressLineNumbers w:val="0"/>
              <w:jc w:val="left"/>
              <w:textAlignment w:val="center"/>
              <w:rPr>
                <w:rStyle w:val="13"/>
                <w:lang w:val="en-US" w:eastAsia="zh-CN" w:bidi="ar"/>
              </w:rPr>
            </w:pPr>
            <w:r>
              <w:rPr>
                <w:rStyle w:val="13"/>
                <w:lang w:val="en-US" w:eastAsia="zh-CN" w:bidi="ar"/>
              </w:rPr>
              <w:t>①已制定合法、合规、完整的资产管理制度，计</w:t>
            </w:r>
            <w:r>
              <w:rPr>
                <w:rStyle w:val="14"/>
                <w:rFonts w:eastAsia="宋体"/>
                <w:lang w:val="en-US" w:eastAsia="zh-CN" w:bidi="ar"/>
              </w:rPr>
              <w:t>0.5</w:t>
            </w:r>
            <w:r>
              <w:rPr>
                <w:rStyle w:val="13"/>
                <w:lang w:val="en-US" w:eastAsia="zh-CN" w:bidi="ar"/>
              </w:rPr>
              <w:t>分，否则不得分；</w:t>
            </w:r>
          </w:p>
          <w:p w14:paraId="688D9E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Style w:val="13"/>
                <w:lang w:val="en-US" w:eastAsia="zh-CN" w:bidi="ar"/>
              </w:rPr>
              <w:t>②相关资产管理制度得到有效执行，计</w:t>
            </w:r>
            <w:r>
              <w:rPr>
                <w:rStyle w:val="14"/>
                <w:rFonts w:eastAsia="宋体"/>
                <w:lang w:val="en-US" w:eastAsia="zh-CN" w:bidi="ar"/>
              </w:rPr>
              <w:t>0.5</w:t>
            </w:r>
            <w:r>
              <w:rPr>
                <w:rStyle w:val="13"/>
                <w:lang w:val="en-US" w:eastAsia="zh-CN" w:bidi="ar"/>
              </w:rPr>
              <w:t>分，否则不得分；</w:t>
            </w:r>
          </w:p>
        </w:tc>
        <w:tc>
          <w:tcPr>
            <w:tcW w:w="2115" w:type="dxa"/>
            <w:tcBorders>
              <w:tl2br w:val="nil"/>
              <w:tr2bl w:val="nil"/>
            </w:tcBorders>
            <w:noWrap w:val="0"/>
            <w:vAlign w:val="center"/>
          </w:tcPr>
          <w:p w14:paraId="1BF96EB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部门（单位）资产管理制度；采购资产相关资料。</w:t>
            </w:r>
          </w:p>
        </w:tc>
        <w:tc>
          <w:tcPr>
            <w:tcW w:w="586" w:type="dxa"/>
            <w:tcBorders>
              <w:tl2br w:val="nil"/>
              <w:tr2bl w:val="nil"/>
            </w:tcBorders>
            <w:noWrap w:val="0"/>
            <w:vAlign w:val="center"/>
          </w:tcPr>
          <w:p w14:paraId="5A760D11">
            <w:pPr>
              <w:jc w:val="left"/>
              <w:rPr>
                <w:rFonts w:hint="default" w:ascii="Times New Roman" w:hAnsi="Times New Roman" w:eastAsia="宋体" w:cs="Times New Roman"/>
                <w:i w:val="0"/>
                <w:iCs w:val="0"/>
                <w:color w:val="000000"/>
                <w:sz w:val="18"/>
                <w:szCs w:val="18"/>
                <w:u w:val="none"/>
                <w:lang w:val="en-US" w:eastAsia="zh-CN"/>
              </w:rPr>
            </w:pPr>
            <w:r>
              <w:rPr>
                <w:rFonts w:hint="eastAsia" w:ascii="Times New Roman" w:hAnsi="Times New Roman" w:cs="Times New Roman"/>
                <w:i w:val="0"/>
                <w:iCs w:val="0"/>
                <w:color w:val="000000"/>
                <w:sz w:val="18"/>
                <w:szCs w:val="18"/>
                <w:u w:val="none"/>
                <w:lang w:val="en-US" w:eastAsia="zh-CN"/>
              </w:rPr>
              <w:t>0.5</w:t>
            </w:r>
          </w:p>
        </w:tc>
      </w:tr>
      <w:tr w14:paraId="140E7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5" w:hRule="atLeast"/>
          <w:jc w:val="center"/>
        </w:trPr>
        <w:tc>
          <w:tcPr>
            <w:tcW w:w="873" w:type="dxa"/>
            <w:vMerge w:val="continue"/>
            <w:tcBorders>
              <w:tl2br w:val="nil"/>
              <w:tr2bl w:val="nil"/>
            </w:tcBorders>
            <w:noWrap w:val="0"/>
            <w:vAlign w:val="center"/>
          </w:tcPr>
          <w:p w14:paraId="57822E5F">
            <w:pPr>
              <w:jc w:val="center"/>
              <w:rPr>
                <w:rFonts w:hint="eastAsia" w:ascii="宋体" w:hAnsi="宋体" w:eastAsia="宋体" w:cs="宋体"/>
                <w:i w:val="0"/>
                <w:iCs w:val="0"/>
                <w:color w:val="000000"/>
                <w:sz w:val="18"/>
                <w:szCs w:val="18"/>
                <w:u w:val="none"/>
              </w:rPr>
            </w:pPr>
          </w:p>
        </w:tc>
        <w:tc>
          <w:tcPr>
            <w:tcW w:w="870" w:type="dxa"/>
            <w:vMerge w:val="continue"/>
            <w:tcBorders>
              <w:tl2br w:val="nil"/>
              <w:tr2bl w:val="nil"/>
            </w:tcBorders>
            <w:noWrap w:val="0"/>
            <w:vAlign w:val="center"/>
          </w:tcPr>
          <w:p w14:paraId="5750B922">
            <w:pPr>
              <w:jc w:val="center"/>
              <w:rPr>
                <w:rFonts w:hint="eastAsia" w:ascii="宋体" w:hAnsi="宋体" w:eastAsia="宋体" w:cs="宋体"/>
                <w:i w:val="0"/>
                <w:iCs w:val="0"/>
                <w:color w:val="000000"/>
                <w:sz w:val="18"/>
                <w:szCs w:val="18"/>
                <w:u w:val="none"/>
              </w:rPr>
            </w:pPr>
          </w:p>
        </w:tc>
        <w:tc>
          <w:tcPr>
            <w:tcW w:w="1050" w:type="dxa"/>
            <w:tcBorders>
              <w:tl2br w:val="nil"/>
              <w:tr2bl w:val="nil"/>
            </w:tcBorders>
            <w:noWrap w:val="0"/>
            <w:vAlign w:val="center"/>
          </w:tcPr>
          <w:p w14:paraId="28252BB5">
            <w:pPr>
              <w:keepNext w:val="0"/>
              <w:keepLines w:val="0"/>
              <w:widowControl/>
              <w:suppressLineNumbers w:val="0"/>
              <w:jc w:val="center"/>
              <w:textAlignment w:val="center"/>
              <w:rPr>
                <w:rStyle w:val="13"/>
                <w:lang w:val="en-US" w:eastAsia="zh-CN" w:bidi="ar"/>
              </w:rPr>
            </w:pPr>
            <w:r>
              <w:rPr>
                <w:rStyle w:val="13"/>
                <w:lang w:val="en-US" w:eastAsia="zh-CN" w:bidi="ar"/>
              </w:rPr>
              <w:t>资产管理</w:t>
            </w:r>
          </w:p>
          <w:p w14:paraId="1F4588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安全性</w:t>
            </w:r>
          </w:p>
        </w:tc>
        <w:tc>
          <w:tcPr>
            <w:tcW w:w="495" w:type="dxa"/>
            <w:tcBorders>
              <w:tl2br w:val="nil"/>
              <w:tr2bl w:val="nil"/>
            </w:tcBorders>
            <w:noWrap w:val="0"/>
            <w:vAlign w:val="center"/>
          </w:tcPr>
          <w:p w14:paraId="4F9E6AA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2570" w:type="dxa"/>
            <w:tcBorders>
              <w:tl2br w:val="nil"/>
              <w:tr2bl w:val="nil"/>
            </w:tcBorders>
            <w:noWrap w:val="0"/>
            <w:vAlign w:val="center"/>
          </w:tcPr>
          <w:p w14:paraId="2CC1CCE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部门（单位）的资产是否保存完整、使用合规、配置合理、处置规范、收入及时足额上缴，用以反映和考核部门（单位）资产安全运行情况。</w:t>
            </w:r>
          </w:p>
        </w:tc>
        <w:tc>
          <w:tcPr>
            <w:tcW w:w="5112" w:type="dxa"/>
            <w:tcBorders>
              <w:tl2br w:val="nil"/>
              <w:tr2bl w:val="nil"/>
            </w:tcBorders>
            <w:noWrap w:val="0"/>
            <w:vAlign w:val="center"/>
          </w:tcPr>
          <w:p w14:paraId="6690EDFB">
            <w:pPr>
              <w:keepNext w:val="0"/>
              <w:keepLines w:val="0"/>
              <w:widowControl/>
              <w:suppressLineNumbers w:val="0"/>
              <w:jc w:val="left"/>
              <w:textAlignment w:val="center"/>
              <w:rPr>
                <w:rStyle w:val="13"/>
                <w:lang w:val="en-US" w:eastAsia="zh-CN" w:bidi="ar"/>
              </w:rPr>
            </w:pPr>
          </w:p>
          <w:p w14:paraId="27D11DA9">
            <w:pPr>
              <w:keepNext w:val="0"/>
              <w:keepLines w:val="0"/>
              <w:widowControl/>
              <w:suppressLineNumbers w:val="0"/>
              <w:jc w:val="left"/>
              <w:textAlignment w:val="center"/>
              <w:rPr>
                <w:rStyle w:val="13"/>
                <w:lang w:val="en-US" w:eastAsia="zh-CN" w:bidi="ar"/>
              </w:rPr>
            </w:pPr>
            <w:r>
              <w:rPr>
                <w:rStyle w:val="13"/>
                <w:lang w:val="en-US" w:eastAsia="zh-CN" w:bidi="ar"/>
              </w:rPr>
              <w:t>①资产配置合理符合标准、保管完整，账务管理规范，定期盘点并有台账，账实相符的，计</w:t>
            </w:r>
            <w:r>
              <w:rPr>
                <w:rStyle w:val="14"/>
                <w:rFonts w:eastAsia="宋体"/>
                <w:lang w:val="en-US" w:eastAsia="zh-CN" w:bidi="ar"/>
              </w:rPr>
              <w:t>0.5</w:t>
            </w:r>
            <w:r>
              <w:rPr>
                <w:rStyle w:val="13"/>
                <w:lang w:val="en-US" w:eastAsia="zh-CN" w:bidi="ar"/>
              </w:rPr>
              <w:t>分，发现一例不符，扣</w:t>
            </w:r>
            <w:r>
              <w:rPr>
                <w:rStyle w:val="14"/>
                <w:rFonts w:eastAsia="宋体"/>
                <w:lang w:val="en-US" w:eastAsia="zh-CN" w:bidi="ar"/>
              </w:rPr>
              <w:t>0.1</w:t>
            </w:r>
            <w:r>
              <w:rPr>
                <w:rStyle w:val="13"/>
                <w:lang w:val="en-US" w:eastAsia="zh-CN" w:bidi="ar"/>
              </w:rPr>
              <w:t>分，扣完为止；</w:t>
            </w:r>
          </w:p>
          <w:p w14:paraId="22B261C8">
            <w:pPr>
              <w:keepNext w:val="0"/>
              <w:keepLines w:val="0"/>
              <w:widowControl/>
              <w:suppressLineNumbers w:val="0"/>
              <w:jc w:val="left"/>
              <w:textAlignment w:val="center"/>
              <w:rPr>
                <w:rStyle w:val="13"/>
                <w:lang w:val="en-US" w:eastAsia="zh-CN" w:bidi="ar"/>
              </w:rPr>
            </w:pPr>
            <w:r>
              <w:rPr>
                <w:rStyle w:val="13"/>
                <w:lang w:val="en-US" w:eastAsia="zh-CN" w:bidi="ar"/>
              </w:rPr>
              <w:t>②资产处置规范，计</w:t>
            </w:r>
            <w:r>
              <w:rPr>
                <w:rStyle w:val="14"/>
                <w:rFonts w:eastAsia="宋体"/>
                <w:lang w:val="en-US" w:eastAsia="zh-CN" w:bidi="ar"/>
              </w:rPr>
              <w:t>0.5</w:t>
            </w:r>
            <w:r>
              <w:rPr>
                <w:rStyle w:val="13"/>
                <w:lang w:val="en-US" w:eastAsia="zh-CN" w:bidi="ar"/>
              </w:rPr>
              <w:t>分，发现一例不符，扣</w:t>
            </w:r>
            <w:r>
              <w:rPr>
                <w:rStyle w:val="14"/>
                <w:rFonts w:eastAsia="宋体"/>
                <w:lang w:val="en-US" w:eastAsia="zh-CN" w:bidi="ar"/>
              </w:rPr>
              <w:t>0.1</w:t>
            </w:r>
            <w:r>
              <w:rPr>
                <w:rStyle w:val="13"/>
                <w:lang w:val="en-US" w:eastAsia="zh-CN" w:bidi="ar"/>
              </w:rPr>
              <w:t>分，扣完为止；</w:t>
            </w:r>
          </w:p>
          <w:p w14:paraId="5317EC1A">
            <w:pPr>
              <w:keepNext w:val="0"/>
              <w:keepLines w:val="0"/>
              <w:widowControl/>
              <w:suppressLineNumbers w:val="0"/>
              <w:jc w:val="left"/>
              <w:textAlignment w:val="center"/>
              <w:rPr>
                <w:rStyle w:val="13"/>
                <w:lang w:val="en-US" w:eastAsia="zh-CN" w:bidi="ar"/>
              </w:rPr>
            </w:pPr>
            <w:r>
              <w:rPr>
                <w:rStyle w:val="13"/>
                <w:lang w:val="en-US" w:eastAsia="zh-CN" w:bidi="ar"/>
              </w:rPr>
              <w:t>③资产有偿使用或处置收入及时足额上缴，计</w:t>
            </w:r>
            <w:r>
              <w:rPr>
                <w:rStyle w:val="14"/>
                <w:rFonts w:eastAsia="宋体"/>
                <w:lang w:val="en-US" w:eastAsia="zh-CN" w:bidi="ar"/>
              </w:rPr>
              <w:t>0.5</w:t>
            </w:r>
            <w:r>
              <w:rPr>
                <w:rStyle w:val="13"/>
                <w:lang w:val="en-US" w:eastAsia="zh-CN" w:bidi="ar"/>
              </w:rPr>
              <w:t>分，发现未上缴，本项不得分；</w:t>
            </w:r>
          </w:p>
          <w:p w14:paraId="541A11E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Style w:val="13"/>
                <w:lang w:val="en-US" w:eastAsia="zh-CN" w:bidi="ar"/>
              </w:rPr>
              <w:t>④资产购置履行政府采购手续，计</w:t>
            </w:r>
            <w:r>
              <w:rPr>
                <w:rStyle w:val="14"/>
                <w:rFonts w:eastAsia="宋体"/>
                <w:lang w:val="en-US" w:eastAsia="zh-CN" w:bidi="ar"/>
              </w:rPr>
              <w:t>0.3</w:t>
            </w:r>
            <w:r>
              <w:rPr>
                <w:rStyle w:val="13"/>
                <w:lang w:val="en-US" w:eastAsia="zh-CN" w:bidi="ar"/>
              </w:rPr>
              <w:t>分，发现一例不符，扣</w:t>
            </w:r>
            <w:r>
              <w:rPr>
                <w:rStyle w:val="14"/>
                <w:rFonts w:eastAsia="宋体"/>
                <w:lang w:val="en-US" w:eastAsia="zh-CN" w:bidi="ar"/>
              </w:rPr>
              <w:t>0.1</w:t>
            </w:r>
            <w:r>
              <w:rPr>
                <w:rStyle w:val="13"/>
                <w:lang w:val="en-US" w:eastAsia="zh-CN" w:bidi="ar"/>
              </w:rPr>
              <w:t>分，扣完为止；外租资产全部走合规程序，计</w:t>
            </w:r>
            <w:r>
              <w:rPr>
                <w:rStyle w:val="14"/>
                <w:rFonts w:eastAsia="宋体"/>
                <w:lang w:val="en-US" w:eastAsia="zh-CN" w:bidi="ar"/>
              </w:rPr>
              <w:t>0.2</w:t>
            </w:r>
            <w:r>
              <w:rPr>
                <w:rStyle w:val="13"/>
                <w:lang w:val="en-US" w:eastAsia="zh-CN" w:bidi="ar"/>
              </w:rPr>
              <w:t>分，发现一例不合规，扣</w:t>
            </w:r>
            <w:r>
              <w:rPr>
                <w:rStyle w:val="14"/>
                <w:rFonts w:eastAsia="宋体"/>
                <w:lang w:val="en-US" w:eastAsia="zh-CN" w:bidi="ar"/>
              </w:rPr>
              <w:t>0.1</w:t>
            </w:r>
            <w:r>
              <w:rPr>
                <w:rStyle w:val="13"/>
                <w:lang w:val="en-US" w:eastAsia="zh-CN" w:bidi="ar"/>
              </w:rPr>
              <w:t>分，扣完为止；</w:t>
            </w:r>
          </w:p>
        </w:tc>
        <w:tc>
          <w:tcPr>
            <w:tcW w:w="2115" w:type="dxa"/>
            <w:tcBorders>
              <w:tl2br w:val="nil"/>
              <w:tr2bl w:val="nil"/>
            </w:tcBorders>
            <w:noWrap w:val="0"/>
            <w:vAlign w:val="center"/>
          </w:tcPr>
          <w:p w14:paraId="0E17B25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财政部门批复的本年度部门（单位）预算；资产账；部门（单位）岗位人员配置、资产配置、资产处置审批资料；政府采购手续及资料等。</w:t>
            </w:r>
          </w:p>
        </w:tc>
        <w:tc>
          <w:tcPr>
            <w:tcW w:w="586" w:type="dxa"/>
            <w:tcBorders>
              <w:tl2br w:val="nil"/>
              <w:tr2bl w:val="nil"/>
            </w:tcBorders>
            <w:noWrap w:val="0"/>
            <w:vAlign w:val="center"/>
          </w:tcPr>
          <w:p w14:paraId="157498B5">
            <w:pPr>
              <w:jc w:val="left"/>
              <w:rPr>
                <w:rFonts w:hint="default" w:ascii="Times New Roman" w:hAnsi="Times New Roman" w:eastAsia="宋体" w:cs="Times New Roman"/>
                <w:i w:val="0"/>
                <w:iCs w:val="0"/>
                <w:color w:val="000000"/>
                <w:sz w:val="18"/>
                <w:szCs w:val="18"/>
                <w:u w:val="none"/>
                <w:lang w:val="en-US" w:eastAsia="zh-CN"/>
              </w:rPr>
            </w:pPr>
            <w:r>
              <w:rPr>
                <w:rFonts w:hint="eastAsia" w:ascii="Times New Roman" w:hAnsi="Times New Roman" w:cs="Times New Roman"/>
                <w:i w:val="0"/>
                <w:iCs w:val="0"/>
                <w:color w:val="000000"/>
                <w:sz w:val="18"/>
                <w:szCs w:val="18"/>
                <w:u w:val="none"/>
                <w:lang w:val="en-US" w:eastAsia="zh-CN"/>
              </w:rPr>
              <w:t>1.5</w:t>
            </w:r>
          </w:p>
        </w:tc>
      </w:tr>
      <w:tr w14:paraId="21296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35" w:hRule="atLeast"/>
          <w:jc w:val="center"/>
        </w:trPr>
        <w:tc>
          <w:tcPr>
            <w:tcW w:w="873" w:type="dxa"/>
            <w:vMerge w:val="continue"/>
            <w:tcBorders>
              <w:tl2br w:val="nil"/>
              <w:tr2bl w:val="nil"/>
            </w:tcBorders>
            <w:noWrap w:val="0"/>
            <w:vAlign w:val="center"/>
          </w:tcPr>
          <w:p w14:paraId="2A53DB89">
            <w:pPr>
              <w:jc w:val="center"/>
              <w:rPr>
                <w:rFonts w:hint="eastAsia" w:ascii="宋体" w:hAnsi="宋体" w:eastAsia="宋体" w:cs="宋体"/>
                <w:i w:val="0"/>
                <w:iCs w:val="0"/>
                <w:color w:val="000000"/>
                <w:sz w:val="18"/>
                <w:szCs w:val="18"/>
                <w:u w:val="none"/>
              </w:rPr>
            </w:pPr>
          </w:p>
        </w:tc>
        <w:tc>
          <w:tcPr>
            <w:tcW w:w="870" w:type="dxa"/>
            <w:vMerge w:val="continue"/>
            <w:tcBorders>
              <w:tl2br w:val="nil"/>
              <w:tr2bl w:val="nil"/>
            </w:tcBorders>
            <w:noWrap w:val="0"/>
            <w:vAlign w:val="center"/>
          </w:tcPr>
          <w:p w14:paraId="4EFC3B4B">
            <w:pPr>
              <w:jc w:val="center"/>
              <w:rPr>
                <w:rFonts w:hint="eastAsia" w:ascii="宋体" w:hAnsi="宋体" w:eastAsia="宋体" w:cs="宋体"/>
                <w:i w:val="0"/>
                <w:iCs w:val="0"/>
                <w:color w:val="000000"/>
                <w:sz w:val="18"/>
                <w:szCs w:val="18"/>
                <w:u w:val="none"/>
              </w:rPr>
            </w:pPr>
          </w:p>
        </w:tc>
        <w:tc>
          <w:tcPr>
            <w:tcW w:w="1050" w:type="dxa"/>
            <w:tcBorders>
              <w:tl2br w:val="nil"/>
              <w:tr2bl w:val="nil"/>
            </w:tcBorders>
            <w:noWrap w:val="0"/>
            <w:vAlign w:val="center"/>
          </w:tcPr>
          <w:p w14:paraId="1A96CE0A">
            <w:pPr>
              <w:keepNext w:val="0"/>
              <w:keepLines w:val="0"/>
              <w:widowControl/>
              <w:suppressLineNumbers w:val="0"/>
              <w:jc w:val="center"/>
              <w:textAlignment w:val="center"/>
              <w:rPr>
                <w:rStyle w:val="13"/>
                <w:lang w:val="en-US" w:eastAsia="zh-CN" w:bidi="ar"/>
              </w:rPr>
            </w:pPr>
            <w:r>
              <w:rPr>
                <w:rStyle w:val="13"/>
                <w:lang w:val="en-US" w:eastAsia="zh-CN" w:bidi="ar"/>
              </w:rPr>
              <w:t>固定资产</w:t>
            </w:r>
          </w:p>
          <w:p w14:paraId="07934CA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保管和使用情况</w:t>
            </w:r>
          </w:p>
        </w:tc>
        <w:tc>
          <w:tcPr>
            <w:tcW w:w="495" w:type="dxa"/>
            <w:tcBorders>
              <w:tl2br w:val="nil"/>
              <w:tr2bl w:val="nil"/>
            </w:tcBorders>
            <w:noWrap w:val="0"/>
            <w:vAlign w:val="center"/>
          </w:tcPr>
          <w:p w14:paraId="6C99770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2570" w:type="dxa"/>
            <w:tcBorders>
              <w:tl2br w:val="nil"/>
              <w:tr2bl w:val="nil"/>
            </w:tcBorders>
            <w:noWrap w:val="0"/>
            <w:vAlign w:val="center"/>
          </w:tcPr>
          <w:p w14:paraId="6E07BB2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掌握预算单位固定资产配置管理使用情况。</w:t>
            </w:r>
          </w:p>
        </w:tc>
        <w:tc>
          <w:tcPr>
            <w:tcW w:w="5112" w:type="dxa"/>
            <w:tcBorders>
              <w:tl2br w:val="nil"/>
              <w:tr2bl w:val="nil"/>
            </w:tcBorders>
            <w:noWrap w:val="0"/>
            <w:vAlign w:val="center"/>
          </w:tcPr>
          <w:p w14:paraId="7AF16EE1">
            <w:pPr>
              <w:keepNext w:val="0"/>
              <w:keepLines w:val="0"/>
              <w:widowControl/>
              <w:suppressLineNumbers w:val="0"/>
              <w:jc w:val="left"/>
              <w:textAlignment w:val="center"/>
              <w:rPr>
                <w:rStyle w:val="13"/>
                <w:lang w:val="en-US" w:eastAsia="zh-CN" w:bidi="ar"/>
              </w:rPr>
            </w:pPr>
          </w:p>
          <w:p w14:paraId="47218F82">
            <w:pPr>
              <w:keepNext w:val="0"/>
              <w:keepLines w:val="0"/>
              <w:widowControl/>
              <w:suppressLineNumbers w:val="0"/>
              <w:jc w:val="left"/>
              <w:textAlignment w:val="center"/>
              <w:rPr>
                <w:rStyle w:val="13"/>
                <w:lang w:val="en-US" w:eastAsia="zh-CN" w:bidi="ar"/>
              </w:rPr>
            </w:pPr>
            <w:r>
              <w:rPr>
                <w:rStyle w:val="13"/>
                <w:lang w:val="en-US" w:eastAsia="zh-CN" w:bidi="ar"/>
              </w:rPr>
              <w:t>①建了固定资产台账实行编码管理，且编码与实物完全匹配计</w:t>
            </w:r>
            <w:r>
              <w:rPr>
                <w:rStyle w:val="14"/>
                <w:rFonts w:eastAsia="宋体"/>
                <w:lang w:val="en-US" w:eastAsia="zh-CN" w:bidi="ar"/>
              </w:rPr>
              <w:t>1</w:t>
            </w:r>
            <w:r>
              <w:rPr>
                <w:rStyle w:val="13"/>
                <w:lang w:val="en-US" w:eastAsia="zh-CN" w:bidi="ar"/>
              </w:rPr>
              <w:t>分，否则不得分；</w:t>
            </w:r>
          </w:p>
          <w:p w14:paraId="6CE829EC">
            <w:pPr>
              <w:keepNext w:val="0"/>
              <w:keepLines w:val="0"/>
              <w:widowControl/>
              <w:suppressLineNumbers w:val="0"/>
              <w:jc w:val="left"/>
              <w:textAlignment w:val="center"/>
              <w:rPr>
                <w:rStyle w:val="13"/>
                <w:lang w:val="en-US" w:eastAsia="zh-CN" w:bidi="ar"/>
              </w:rPr>
            </w:pPr>
            <w:r>
              <w:rPr>
                <w:rStyle w:val="13"/>
                <w:lang w:val="en-US" w:eastAsia="zh-CN" w:bidi="ar"/>
              </w:rPr>
              <w:t>②建立了固定资产增减变化审批程序的计0.5分，否则不得分；</w:t>
            </w:r>
          </w:p>
          <w:p w14:paraId="721D748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Style w:val="13"/>
                <w:lang w:val="en-US" w:eastAsia="zh-CN" w:bidi="ar"/>
              </w:rPr>
              <w:t>③固定资产无闲置浪费现象计0.5分，发现一处扣</w:t>
            </w:r>
            <w:r>
              <w:rPr>
                <w:rStyle w:val="14"/>
                <w:rFonts w:eastAsia="宋体"/>
                <w:lang w:val="en-US" w:eastAsia="zh-CN" w:bidi="ar"/>
              </w:rPr>
              <w:t>0.1</w:t>
            </w:r>
            <w:r>
              <w:rPr>
                <w:rStyle w:val="13"/>
                <w:lang w:val="en-US" w:eastAsia="zh-CN" w:bidi="ar"/>
              </w:rPr>
              <w:t>分，扣完为止。</w:t>
            </w:r>
          </w:p>
        </w:tc>
        <w:tc>
          <w:tcPr>
            <w:tcW w:w="2115" w:type="dxa"/>
            <w:tcBorders>
              <w:tl2br w:val="nil"/>
              <w:tr2bl w:val="nil"/>
            </w:tcBorders>
            <w:noWrap w:val="0"/>
            <w:vAlign w:val="center"/>
          </w:tcPr>
          <w:p w14:paraId="1B677B6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部门（单位）固定资产实际使用情况；固定资产账。</w:t>
            </w:r>
          </w:p>
        </w:tc>
        <w:tc>
          <w:tcPr>
            <w:tcW w:w="586" w:type="dxa"/>
            <w:tcBorders>
              <w:tl2br w:val="nil"/>
              <w:tr2bl w:val="nil"/>
            </w:tcBorders>
            <w:noWrap w:val="0"/>
            <w:vAlign w:val="center"/>
          </w:tcPr>
          <w:p w14:paraId="08D198C6">
            <w:pPr>
              <w:jc w:val="left"/>
              <w:rPr>
                <w:rFonts w:hint="eastAsia" w:ascii="Times New Roman" w:hAnsi="Times New Roman" w:eastAsia="宋体" w:cs="Times New Roman"/>
                <w:i w:val="0"/>
                <w:iCs w:val="0"/>
                <w:color w:val="000000"/>
                <w:sz w:val="18"/>
                <w:szCs w:val="18"/>
                <w:u w:val="none"/>
                <w:lang w:val="en-US" w:eastAsia="zh-CN"/>
              </w:rPr>
            </w:pPr>
            <w:r>
              <w:rPr>
                <w:rFonts w:hint="eastAsia" w:ascii="Times New Roman" w:hAnsi="Times New Roman" w:cs="Times New Roman"/>
                <w:i w:val="0"/>
                <w:iCs w:val="0"/>
                <w:color w:val="000000"/>
                <w:sz w:val="18"/>
                <w:szCs w:val="18"/>
                <w:u w:val="none"/>
                <w:lang w:val="en-US" w:eastAsia="zh-CN"/>
              </w:rPr>
              <w:t>1</w:t>
            </w:r>
          </w:p>
        </w:tc>
      </w:tr>
      <w:tr w14:paraId="1D54FA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5" w:hRule="atLeast"/>
          <w:jc w:val="center"/>
        </w:trPr>
        <w:tc>
          <w:tcPr>
            <w:tcW w:w="873" w:type="dxa"/>
            <w:vMerge w:val="restart"/>
            <w:tcBorders>
              <w:tl2br w:val="nil"/>
              <w:tr2bl w:val="nil"/>
            </w:tcBorders>
            <w:noWrap w:val="0"/>
            <w:vAlign w:val="center"/>
          </w:tcPr>
          <w:p w14:paraId="3E6FBF87">
            <w:pPr>
              <w:keepNext w:val="0"/>
              <w:keepLines w:val="0"/>
              <w:widowControl/>
              <w:suppressLineNumbers w:val="0"/>
              <w:jc w:val="center"/>
              <w:textAlignment w:val="center"/>
              <w:rPr>
                <w:rStyle w:val="13"/>
                <w:lang w:val="en-US" w:eastAsia="zh-CN" w:bidi="ar"/>
              </w:rPr>
            </w:pPr>
            <w:r>
              <w:rPr>
                <w:rStyle w:val="13"/>
                <w:lang w:val="en-US" w:eastAsia="zh-CN" w:bidi="ar"/>
              </w:rPr>
              <w:t>产出</w:t>
            </w:r>
          </w:p>
          <w:p w14:paraId="7D58D06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w:t>
            </w:r>
            <w:r>
              <w:rPr>
                <w:rStyle w:val="14"/>
                <w:rFonts w:eastAsia="宋体"/>
                <w:lang w:val="en-US" w:eastAsia="zh-CN" w:bidi="ar"/>
              </w:rPr>
              <w:t>22</w:t>
            </w:r>
            <w:r>
              <w:rPr>
                <w:rStyle w:val="13"/>
                <w:lang w:val="en-US" w:eastAsia="zh-CN" w:bidi="ar"/>
              </w:rPr>
              <w:t>分）</w:t>
            </w:r>
          </w:p>
        </w:tc>
        <w:tc>
          <w:tcPr>
            <w:tcW w:w="870" w:type="dxa"/>
            <w:vMerge w:val="restart"/>
            <w:tcBorders>
              <w:tl2br w:val="nil"/>
              <w:tr2bl w:val="nil"/>
            </w:tcBorders>
            <w:noWrap w:val="0"/>
            <w:vAlign w:val="center"/>
          </w:tcPr>
          <w:p w14:paraId="2AD357E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职责履行（</w:t>
            </w:r>
            <w:r>
              <w:rPr>
                <w:rStyle w:val="14"/>
                <w:rFonts w:eastAsia="宋体"/>
                <w:lang w:val="en-US" w:eastAsia="zh-CN" w:bidi="ar"/>
              </w:rPr>
              <w:t>22</w:t>
            </w:r>
            <w:r>
              <w:rPr>
                <w:rStyle w:val="13"/>
                <w:lang w:val="en-US" w:eastAsia="zh-CN" w:bidi="ar"/>
              </w:rPr>
              <w:t>分）</w:t>
            </w:r>
          </w:p>
        </w:tc>
        <w:tc>
          <w:tcPr>
            <w:tcW w:w="1050" w:type="dxa"/>
            <w:tcBorders>
              <w:tl2br w:val="nil"/>
              <w:tr2bl w:val="nil"/>
            </w:tcBorders>
            <w:noWrap w:val="0"/>
            <w:vAlign w:val="center"/>
          </w:tcPr>
          <w:p w14:paraId="219AAEE2">
            <w:pPr>
              <w:keepNext w:val="0"/>
              <w:keepLines w:val="0"/>
              <w:widowControl/>
              <w:suppressLineNumbers w:val="0"/>
              <w:jc w:val="center"/>
              <w:textAlignment w:val="center"/>
              <w:rPr>
                <w:rStyle w:val="14"/>
                <w:rFonts w:eastAsia="宋体"/>
                <w:lang w:val="en-US" w:eastAsia="zh-CN" w:bidi="ar"/>
              </w:rPr>
            </w:pPr>
            <w:r>
              <w:rPr>
                <w:rStyle w:val="13"/>
                <w:lang w:val="en-US" w:eastAsia="zh-CN" w:bidi="ar"/>
              </w:rPr>
              <w:t>部门整体</w:t>
            </w:r>
            <w:r>
              <w:rPr>
                <w:rStyle w:val="14"/>
                <w:rFonts w:eastAsia="宋体"/>
                <w:lang w:val="en-US" w:eastAsia="zh-CN" w:bidi="ar"/>
              </w:rPr>
              <w:t xml:space="preserve"> </w:t>
            </w:r>
          </w:p>
          <w:p w14:paraId="370AD02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工作质量</w:t>
            </w:r>
          </w:p>
        </w:tc>
        <w:tc>
          <w:tcPr>
            <w:tcW w:w="495" w:type="dxa"/>
            <w:tcBorders>
              <w:tl2br w:val="nil"/>
              <w:tr2bl w:val="nil"/>
            </w:tcBorders>
            <w:noWrap w:val="0"/>
            <w:vAlign w:val="center"/>
          </w:tcPr>
          <w:p w14:paraId="47C6D2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2570" w:type="dxa"/>
            <w:tcBorders>
              <w:tl2br w:val="nil"/>
              <w:tr2bl w:val="nil"/>
            </w:tcBorders>
            <w:noWrap w:val="0"/>
            <w:vAlign w:val="center"/>
          </w:tcPr>
          <w:p w14:paraId="6B04D21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反映部门党委政府绩效考核评估等级</w:t>
            </w:r>
          </w:p>
        </w:tc>
        <w:tc>
          <w:tcPr>
            <w:tcW w:w="5112" w:type="dxa"/>
            <w:tcBorders>
              <w:tl2br w:val="nil"/>
              <w:tr2bl w:val="nil"/>
            </w:tcBorders>
            <w:noWrap w:val="0"/>
            <w:vAlign w:val="center"/>
          </w:tcPr>
          <w:p w14:paraId="3EA34D66">
            <w:pPr>
              <w:keepNext w:val="0"/>
              <w:keepLines w:val="0"/>
              <w:widowControl/>
              <w:suppressLineNumbers w:val="0"/>
              <w:jc w:val="left"/>
              <w:textAlignment w:val="center"/>
              <w:rPr>
                <w:rStyle w:val="13"/>
                <w:lang w:val="en-US" w:eastAsia="zh-CN" w:bidi="ar"/>
              </w:rPr>
            </w:pPr>
          </w:p>
          <w:p w14:paraId="2596236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Style w:val="13"/>
                <w:lang w:val="en-US" w:eastAsia="zh-CN" w:bidi="ar"/>
              </w:rPr>
              <w:t>以市委、市政府绩效效考核评估结果为依据：优秀，计</w:t>
            </w:r>
            <w:r>
              <w:rPr>
                <w:rStyle w:val="14"/>
                <w:rFonts w:eastAsia="宋体"/>
                <w:lang w:val="en-US" w:eastAsia="zh-CN" w:bidi="ar"/>
              </w:rPr>
              <w:t>6</w:t>
            </w:r>
            <w:r>
              <w:rPr>
                <w:rStyle w:val="13"/>
                <w:lang w:val="en-US" w:eastAsia="zh-CN" w:bidi="ar"/>
              </w:rPr>
              <w:t>分；良好，</w:t>
            </w:r>
            <w:r>
              <w:rPr>
                <w:rStyle w:val="14"/>
                <w:rFonts w:eastAsia="宋体"/>
                <w:lang w:val="en-US" w:eastAsia="zh-CN" w:bidi="ar"/>
              </w:rPr>
              <w:t>4</w:t>
            </w:r>
            <w:r>
              <w:rPr>
                <w:rStyle w:val="13"/>
                <w:lang w:val="en-US" w:eastAsia="zh-CN" w:bidi="ar"/>
              </w:rPr>
              <w:t>分；合格，</w:t>
            </w:r>
            <w:r>
              <w:rPr>
                <w:rStyle w:val="14"/>
                <w:rFonts w:eastAsia="宋体"/>
                <w:lang w:val="en-US" w:eastAsia="zh-CN" w:bidi="ar"/>
              </w:rPr>
              <w:t>2</w:t>
            </w:r>
            <w:r>
              <w:rPr>
                <w:rStyle w:val="13"/>
                <w:lang w:val="en-US" w:eastAsia="zh-CN" w:bidi="ar"/>
              </w:rPr>
              <w:t>分；不合格，</w:t>
            </w:r>
            <w:r>
              <w:rPr>
                <w:rStyle w:val="14"/>
                <w:rFonts w:eastAsia="宋体"/>
                <w:lang w:val="en-US" w:eastAsia="zh-CN" w:bidi="ar"/>
              </w:rPr>
              <w:t>0</w:t>
            </w:r>
            <w:r>
              <w:rPr>
                <w:rStyle w:val="13"/>
                <w:lang w:val="en-US" w:eastAsia="zh-CN" w:bidi="ar"/>
              </w:rPr>
              <w:t>分。</w:t>
            </w:r>
          </w:p>
        </w:tc>
        <w:tc>
          <w:tcPr>
            <w:tcW w:w="2115" w:type="dxa"/>
            <w:tcBorders>
              <w:tl2br w:val="nil"/>
              <w:tr2bl w:val="nil"/>
            </w:tcBorders>
            <w:noWrap w:val="0"/>
            <w:vAlign w:val="center"/>
          </w:tcPr>
          <w:p w14:paraId="053AD6D7">
            <w:pPr>
              <w:jc w:val="left"/>
              <w:rPr>
                <w:rFonts w:hint="default" w:ascii="Times New Roman" w:hAnsi="Times New Roman" w:eastAsia="宋体" w:cs="Times New Roman"/>
                <w:i w:val="0"/>
                <w:iCs w:val="0"/>
                <w:color w:val="000000"/>
                <w:sz w:val="18"/>
                <w:szCs w:val="18"/>
                <w:u w:val="none"/>
              </w:rPr>
            </w:pPr>
          </w:p>
        </w:tc>
        <w:tc>
          <w:tcPr>
            <w:tcW w:w="586" w:type="dxa"/>
            <w:tcBorders>
              <w:tl2br w:val="nil"/>
              <w:tr2bl w:val="nil"/>
            </w:tcBorders>
            <w:noWrap w:val="0"/>
            <w:vAlign w:val="center"/>
          </w:tcPr>
          <w:p w14:paraId="2E3BEE40">
            <w:pPr>
              <w:jc w:val="left"/>
              <w:rPr>
                <w:rFonts w:hint="eastAsia" w:ascii="Times New Roman" w:hAnsi="Times New Roman" w:eastAsia="宋体" w:cs="Times New Roman"/>
                <w:i w:val="0"/>
                <w:iCs w:val="0"/>
                <w:color w:val="000000"/>
                <w:sz w:val="18"/>
                <w:szCs w:val="18"/>
                <w:u w:val="none"/>
                <w:lang w:val="en-US" w:eastAsia="zh-CN"/>
              </w:rPr>
            </w:pPr>
            <w:r>
              <w:rPr>
                <w:rFonts w:hint="eastAsia" w:ascii="Times New Roman" w:hAnsi="Times New Roman" w:cs="Times New Roman"/>
                <w:i w:val="0"/>
                <w:iCs w:val="0"/>
                <w:color w:val="000000"/>
                <w:sz w:val="18"/>
                <w:szCs w:val="18"/>
                <w:u w:val="none"/>
                <w:lang w:val="en-US" w:eastAsia="zh-CN"/>
              </w:rPr>
              <w:t>6</w:t>
            </w:r>
          </w:p>
        </w:tc>
      </w:tr>
      <w:tr w14:paraId="63B55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0" w:hRule="atLeast"/>
          <w:jc w:val="center"/>
        </w:trPr>
        <w:tc>
          <w:tcPr>
            <w:tcW w:w="873" w:type="dxa"/>
            <w:vMerge w:val="continue"/>
            <w:tcBorders>
              <w:tl2br w:val="nil"/>
              <w:tr2bl w:val="nil"/>
            </w:tcBorders>
            <w:noWrap w:val="0"/>
            <w:vAlign w:val="center"/>
          </w:tcPr>
          <w:p w14:paraId="71CF6F71">
            <w:pPr>
              <w:jc w:val="center"/>
              <w:rPr>
                <w:rFonts w:hint="default" w:ascii="Times New Roman" w:hAnsi="Times New Roman" w:eastAsia="宋体" w:cs="Times New Roman"/>
                <w:i w:val="0"/>
                <w:iCs w:val="0"/>
                <w:color w:val="000000"/>
                <w:sz w:val="18"/>
                <w:szCs w:val="18"/>
                <w:u w:val="none"/>
              </w:rPr>
            </w:pPr>
          </w:p>
        </w:tc>
        <w:tc>
          <w:tcPr>
            <w:tcW w:w="870" w:type="dxa"/>
            <w:vMerge w:val="continue"/>
            <w:tcBorders>
              <w:tl2br w:val="nil"/>
              <w:tr2bl w:val="nil"/>
            </w:tcBorders>
            <w:noWrap w:val="0"/>
            <w:vAlign w:val="center"/>
          </w:tcPr>
          <w:p w14:paraId="23E27D6E">
            <w:pPr>
              <w:jc w:val="center"/>
              <w:rPr>
                <w:rFonts w:hint="default" w:ascii="Times New Roman" w:hAnsi="Times New Roman" w:eastAsia="宋体" w:cs="Times New Roman"/>
                <w:i w:val="0"/>
                <w:iCs w:val="0"/>
                <w:color w:val="000000"/>
                <w:sz w:val="18"/>
                <w:szCs w:val="18"/>
                <w:u w:val="none"/>
              </w:rPr>
            </w:pPr>
          </w:p>
        </w:tc>
        <w:tc>
          <w:tcPr>
            <w:tcW w:w="1050" w:type="dxa"/>
            <w:tcBorders>
              <w:tl2br w:val="nil"/>
              <w:tr2bl w:val="nil"/>
            </w:tcBorders>
            <w:noWrap w:val="0"/>
            <w:vAlign w:val="center"/>
          </w:tcPr>
          <w:p w14:paraId="708FE832">
            <w:pPr>
              <w:keepNext w:val="0"/>
              <w:keepLines w:val="0"/>
              <w:widowControl/>
              <w:suppressLineNumbers w:val="0"/>
              <w:jc w:val="center"/>
              <w:textAlignment w:val="center"/>
              <w:rPr>
                <w:rStyle w:val="15"/>
                <w:lang w:val="en-US" w:eastAsia="zh-CN" w:bidi="ar"/>
              </w:rPr>
            </w:pPr>
            <w:r>
              <w:rPr>
                <w:rStyle w:val="15"/>
                <w:lang w:val="en-US" w:eastAsia="zh-CN" w:bidi="ar"/>
              </w:rPr>
              <w:t>实际</w:t>
            </w:r>
          </w:p>
          <w:p w14:paraId="0A25901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15"/>
                <w:lang w:val="en-US" w:eastAsia="zh-CN" w:bidi="ar"/>
              </w:rPr>
              <w:t>完成率</w:t>
            </w:r>
          </w:p>
        </w:tc>
        <w:tc>
          <w:tcPr>
            <w:tcW w:w="495" w:type="dxa"/>
            <w:tcBorders>
              <w:tl2br w:val="nil"/>
              <w:tr2bl w:val="nil"/>
            </w:tcBorders>
            <w:noWrap w:val="0"/>
            <w:vAlign w:val="center"/>
          </w:tcPr>
          <w:p w14:paraId="3A5F20A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2570" w:type="dxa"/>
            <w:tcBorders>
              <w:tl2br w:val="nil"/>
              <w:tr2bl w:val="nil"/>
            </w:tcBorders>
            <w:noWrap w:val="0"/>
            <w:vAlign w:val="center"/>
          </w:tcPr>
          <w:p w14:paraId="5DF934C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5"/>
                <w:lang w:val="en-US" w:eastAsia="zh-CN" w:bidi="ar"/>
              </w:rPr>
              <w:t>部门履行职责而实际完成工作数与计划工作数的比率，用以反映和考核部门履职工作任务目标的实现程度。</w:t>
            </w:r>
          </w:p>
        </w:tc>
        <w:tc>
          <w:tcPr>
            <w:tcW w:w="5112" w:type="dxa"/>
            <w:tcBorders>
              <w:tl2br w:val="nil"/>
              <w:tr2bl w:val="nil"/>
            </w:tcBorders>
            <w:noWrap w:val="0"/>
            <w:vAlign w:val="center"/>
          </w:tcPr>
          <w:p w14:paraId="67A9378B">
            <w:pPr>
              <w:keepNext w:val="0"/>
              <w:keepLines w:val="0"/>
              <w:widowControl/>
              <w:suppressLineNumbers w:val="0"/>
              <w:jc w:val="left"/>
              <w:textAlignment w:val="center"/>
              <w:rPr>
                <w:rStyle w:val="15"/>
                <w:lang w:val="en-US" w:eastAsia="zh-CN" w:bidi="ar"/>
              </w:rPr>
            </w:pPr>
          </w:p>
          <w:p w14:paraId="74279483">
            <w:pPr>
              <w:keepNext w:val="0"/>
              <w:keepLines w:val="0"/>
              <w:widowControl/>
              <w:suppressLineNumbers w:val="0"/>
              <w:jc w:val="left"/>
              <w:textAlignment w:val="center"/>
              <w:rPr>
                <w:rStyle w:val="15"/>
                <w:lang w:val="en-US" w:eastAsia="zh-CN" w:bidi="ar"/>
              </w:rPr>
            </w:pPr>
            <w:r>
              <w:rPr>
                <w:rStyle w:val="15"/>
                <w:lang w:val="en-US" w:eastAsia="zh-CN" w:bidi="ar"/>
              </w:rPr>
              <w:t>实际完成率</w:t>
            </w:r>
            <w:r>
              <w:rPr>
                <w:rStyle w:val="16"/>
                <w:rFonts w:eastAsia="宋体"/>
                <w:lang w:val="en-US" w:eastAsia="zh-CN" w:bidi="ar"/>
              </w:rPr>
              <w:t>=</w:t>
            </w:r>
            <w:r>
              <w:rPr>
                <w:rStyle w:val="15"/>
                <w:lang w:val="en-US" w:eastAsia="zh-CN" w:bidi="ar"/>
              </w:rPr>
              <w:t>（实际完成工作数</w:t>
            </w:r>
            <w:r>
              <w:rPr>
                <w:rStyle w:val="16"/>
                <w:rFonts w:eastAsia="宋体"/>
                <w:lang w:val="en-US" w:eastAsia="zh-CN" w:bidi="ar"/>
              </w:rPr>
              <w:t>/</w:t>
            </w:r>
            <w:r>
              <w:rPr>
                <w:rStyle w:val="15"/>
                <w:lang w:val="en-US" w:eastAsia="zh-CN" w:bidi="ar"/>
              </w:rPr>
              <w:t>计划工作数）</w:t>
            </w:r>
            <w:r>
              <w:rPr>
                <w:rStyle w:val="16"/>
                <w:rFonts w:eastAsia="宋体"/>
                <w:lang w:val="en-US" w:eastAsia="zh-CN" w:bidi="ar"/>
              </w:rPr>
              <w:t>×100%</w:t>
            </w:r>
            <w:r>
              <w:rPr>
                <w:rStyle w:val="15"/>
                <w:lang w:val="en-US" w:eastAsia="zh-CN" w:bidi="ar"/>
              </w:rPr>
              <w:t>。实际完成工作数：一定时期（年度或规划期）内部门实际完成工作任务的数量。计划工作数：部门整体绩效目标确定的一定时期（年度或规划期）内预计完成工作任务的数量。</w:t>
            </w:r>
          </w:p>
          <w:p w14:paraId="1231625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5"/>
                <w:lang w:val="en-US" w:eastAsia="zh-CN" w:bidi="ar"/>
              </w:rPr>
              <w:t>该项得分</w:t>
            </w:r>
            <w:r>
              <w:rPr>
                <w:rStyle w:val="16"/>
                <w:rFonts w:eastAsia="宋体"/>
                <w:lang w:val="en-US" w:eastAsia="zh-CN" w:bidi="ar"/>
              </w:rPr>
              <w:t>=</w:t>
            </w:r>
            <w:r>
              <w:rPr>
                <w:rStyle w:val="15"/>
                <w:lang w:val="en-US" w:eastAsia="zh-CN" w:bidi="ar"/>
              </w:rPr>
              <w:t>完成率</w:t>
            </w:r>
            <w:r>
              <w:rPr>
                <w:rStyle w:val="16"/>
                <w:rFonts w:eastAsia="宋体"/>
                <w:lang w:val="en-US" w:eastAsia="zh-CN" w:bidi="ar"/>
              </w:rPr>
              <w:t>×4</w:t>
            </w:r>
            <w:r>
              <w:rPr>
                <w:rStyle w:val="15"/>
                <w:lang w:val="en-US" w:eastAsia="zh-CN" w:bidi="ar"/>
              </w:rPr>
              <w:t>分。</w:t>
            </w:r>
          </w:p>
        </w:tc>
        <w:tc>
          <w:tcPr>
            <w:tcW w:w="2115" w:type="dxa"/>
            <w:tcBorders>
              <w:tl2br w:val="nil"/>
              <w:tr2bl w:val="nil"/>
            </w:tcBorders>
            <w:noWrap w:val="0"/>
            <w:vAlign w:val="center"/>
          </w:tcPr>
          <w:p w14:paraId="717C4D5A">
            <w:pPr>
              <w:jc w:val="left"/>
              <w:rPr>
                <w:rFonts w:hint="default" w:ascii="Times New Roman" w:hAnsi="Times New Roman" w:eastAsia="宋体" w:cs="Times New Roman"/>
                <w:i w:val="0"/>
                <w:iCs w:val="0"/>
                <w:color w:val="000000"/>
                <w:sz w:val="18"/>
                <w:szCs w:val="18"/>
                <w:u w:val="none"/>
              </w:rPr>
            </w:pPr>
          </w:p>
        </w:tc>
        <w:tc>
          <w:tcPr>
            <w:tcW w:w="586" w:type="dxa"/>
            <w:tcBorders>
              <w:tl2br w:val="nil"/>
              <w:tr2bl w:val="nil"/>
            </w:tcBorders>
            <w:noWrap w:val="0"/>
            <w:vAlign w:val="center"/>
          </w:tcPr>
          <w:p w14:paraId="058025ED">
            <w:pPr>
              <w:jc w:val="left"/>
              <w:rPr>
                <w:rFonts w:hint="eastAsia" w:ascii="Times New Roman" w:hAnsi="Times New Roman" w:eastAsia="宋体" w:cs="Times New Roman"/>
                <w:i w:val="0"/>
                <w:iCs w:val="0"/>
                <w:color w:val="000000"/>
                <w:sz w:val="18"/>
                <w:szCs w:val="18"/>
                <w:u w:val="none"/>
                <w:lang w:val="en-US" w:eastAsia="zh-CN"/>
              </w:rPr>
            </w:pPr>
            <w:r>
              <w:rPr>
                <w:rFonts w:hint="eastAsia" w:ascii="Times New Roman" w:hAnsi="Times New Roman" w:cs="Times New Roman"/>
                <w:i w:val="0"/>
                <w:iCs w:val="0"/>
                <w:color w:val="000000"/>
                <w:sz w:val="18"/>
                <w:szCs w:val="18"/>
                <w:u w:val="none"/>
                <w:lang w:val="en-US" w:eastAsia="zh-CN"/>
              </w:rPr>
              <w:t>4</w:t>
            </w:r>
          </w:p>
        </w:tc>
      </w:tr>
      <w:tr w14:paraId="327952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0" w:hRule="atLeast"/>
          <w:jc w:val="center"/>
        </w:trPr>
        <w:tc>
          <w:tcPr>
            <w:tcW w:w="873" w:type="dxa"/>
            <w:vMerge w:val="continue"/>
            <w:tcBorders>
              <w:tl2br w:val="nil"/>
              <w:tr2bl w:val="nil"/>
            </w:tcBorders>
            <w:noWrap w:val="0"/>
            <w:vAlign w:val="center"/>
          </w:tcPr>
          <w:p w14:paraId="202CEC59">
            <w:pPr>
              <w:jc w:val="center"/>
              <w:rPr>
                <w:rFonts w:hint="default" w:ascii="Times New Roman" w:hAnsi="Times New Roman" w:eastAsia="宋体" w:cs="Times New Roman"/>
                <w:i w:val="0"/>
                <w:iCs w:val="0"/>
                <w:color w:val="000000"/>
                <w:sz w:val="18"/>
                <w:szCs w:val="18"/>
                <w:u w:val="none"/>
              </w:rPr>
            </w:pPr>
          </w:p>
        </w:tc>
        <w:tc>
          <w:tcPr>
            <w:tcW w:w="870" w:type="dxa"/>
            <w:vMerge w:val="continue"/>
            <w:tcBorders>
              <w:tl2br w:val="nil"/>
              <w:tr2bl w:val="nil"/>
            </w:tcBorders>
            <w:noWrap w:val="0"/>
            <w:vAlign w:val="center"/>
          </w:tcPr>
          <w:p w14:paraId="2F1CDEF3">
            <w:pPr>
              <w:jc w:val="center"/>
              <w:rPr>
                <w:rFonts w:hint="default" w:ascii="Times New Roman" w:hAnsi="Times New Roman" w:eastAsia="宋体" w:cs="Times New Roman"/>
                <w:i w:val="0"/>
                <w:iCs w:val="0"/>
                <w:color w:val="000000"/>
                <w:sz w:val="18"/>
                <w:szCs w:val="18"/>
                <w:u w:val="none"/>
              </w:rPr>
            </w:pPr>
          </w:p>
        </w:tc>
        <w:tc>
          <w:tcPr>
            <w:tcW w:w="1050" w:type="dxa"/>
            <w:tcBorders>
              <w:tl2br w:val="nil"/>
              <w:tr2bl w:val="nil"/>
            </w:tcBorders>
            <w:noWrap w:val="0"/>
            <w:vAlign w:val="center"/>
          </w:tcPr>
          <w:p w14:paraId="567BA0EC">
            <w:pPr>
              <w:keepNext w:val="0"/>
              <w:keepLines w:val="0"/>
              <w:widowControl/>
              <w:suppressLineNumbers w:val="0"/>
              <w:jc w:val="center"/>
              <w:textAlignment w:val="center"/>
              <w:rPr>
                <w:rStyle w:val="15"/>
                <w:lang w:val="en-US" w:eastAsia="zh-CN" w:bidi="ar"/>
              </w:rPr>
            </w:pPr>
            <w:r>
              <w:rPr>
                <w:rStyle w:val="15"/>
                <w:lang w:val="en-US" w:eastAsia="zh-CN" w:bidi="ar"/>
              </w:rPr>
              <w:t>完成</w:t>
            </w:r>
          </w:p>
          <w:p w14:paraId="2526844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15"/>
                <w:lang w:val="en-US" w:eastAsia="zh-CN" w:bidi="ar"/>
              </w:rPr>
              <w:t>及时性</w:t>
            </w:r>
          </w:p>
        </w:tc>
        <w:tc>
          <w:tcPr>
            <w:tcW w:w="495" w:type="dxa"/>
            <w:tcBorders>
              <w:tl2br w:val="nil"/>
              <w:tr2bl w:val="nil"/>
            </w:tcBorders>
            <w:noWrap w:val="0"/>
            <w:vAlign w:val="center"/>
          </w:tcPr>
          <w:p w14:paraId="15693E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2570" w:type="dxa"/>
            <w:tcBorders>
              <w:tl2br w:val="nil"/>
              <w:tr2bl w:val="nil"/>
            </w:tcBorders>
            <w:noWrap w:val="0"/>
            <w:vAlign w:val="center"/>
          </w:tcPr>
          <w:p w14:paraId="7846EC0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5"/>
                <w:lang w:val="en-US" w:eastAsia="zh-CN" w:bidi="ar"/>
              </w:rPr>
              <w:t>部门在规定时限内及时完成的实际工作数与计划工作数的比率，用以反映和考核部门履职实效目标的实现程度。</w:t>
            </w:r>
          </w:p>
        </w:tc>
        <w:tc>
          <w:tcPr>
            <w:tcW w:w="5112" w:type="dxa"/>
            <w:tcBorders>
              <w:tl2br w:val="nil"/>
              <w:tr2bl w:val="nil"/>
            </w:tcBorders>
            <w:noWrap w:val="0"/>
            <w:vAlign w:val="center"/>
          </w:tcPr>
          <w:p w14:paraId="5C15E0CB">
            <w:pPr>
              <w:keepNext w:val="0"/>
              <w:keepLines w:val="0"/>
              <w:widowControl/>
              <w:suppressLineNumbers w:val="0"/>
              <w:jc w:val="left"/>
              <w:textAlignment w:val="center"/>
              <w:rPr>
                <w:rStyle w:val="15"/>
                <w:lang w:val="en-US" w:eastAsia="zh-CN" w:bidi="ar"/>
              </w:rPr>
            </w:pPr>
          </w:p>
          <w:p w14:paraId="195980F2">
            <w:pPr>
              <w:keepNext w:val="0"/>
              <w:keepLines w:val="0"/>
              <w:widowControl/>
              <w:suppressLineNumbers w:val="0"/>
              <w:jc w:val="left"/>
              <w:textAlignment w:val="center"/>
              <w:rPr>
                <w:rStyle w:val="15"/>
                <w:lang w:val="en-US" w:eastAsia="zh-CN" w:bidi="ar"/>
              </w:rPr>
            </w:pPr>
            <w:r>
              <w:rPr>
                <w:rStyle w:val="15"/>
                <w:lang w:val="en-US" w:eastAsia="zh-CN" w:bidi="ar"/>
              </w:rPr>
              <w:t>完成及时率</w:t>
            </w:r>
            <w:r>
              <w:rPr>
                <w:rStyle w:val="16"/>
                <w:rFonts w:eastAsia="宋体"/>
                <w:lang w:val="en-US" w:eastAsia="zh-CN" w:bidi="ar"/>
              </w:rPr>
              <w:t>=</w:t>
            </w:r>
            <w:r>
              <w:rPr>
                <w:rStyle w:val="15"/>
                <w:lang w:val="en-US" w:eastAsia="zh-CN" w:bidi="ar"/>
              </w:rPr>
              <w:t>（及时完成实际工作数</w:t>
            </w:r>
            <w:r>
              <w:rPr>
                <w:rStyle w:val="16"/>
                <w:rFonts w:eastAsia="宋体"/>
                <w:lang w:val="en-US" w:eastAsia="zh-CN" w:bidi="ar"/>
              </w:rPr>
              <w:t>/</w:t>
            </w:r>
            <w:r>
              <w:rPr>
                <w:rStyle w:val="15"/>
                <w:lang w:val="en-US" w:eastAsia="zh-CN" w:bidi="ar"/>
              </w:rPr>
              <w:t>计划工作数）</w:t>
            </w:r>
            <w:r>
              <w:rPr>
                <w:rStyle w:val="16"/>
                <w:rFonts w:eastAsia="宋体"/>
                <w:lang w:val="en-US" w:eastAsia="zh-CN" w:bidi="ar"/>
              </w:rPr>
              <w:t>×100%</w:t>
            </w:r>
            <w:r>
              <w:rPr>
                <w:rStyle w:val="15"/>
                <w:lang w:val="en-US" w:eastAsia="zh-CN" w:bidi="ar"/>
              </w:rPr>
              <w:t>。及时完成实际工作数：部门按照整体绩效目标确定的时限实际完成的工作任务数量。</w:t>
            </w:r>
          </w:p>
          <w:p w14:paraId="37F7A4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Style w:val="15"/>
                <w:lang w:val="en-US" w:eastAsia="zh-CN" w:bidi="ar"/>
              </w:rPr>
              <w:t>该项得分</w:t>
            </w:r>
            <w:r>
              <w:rPr>
                <w:rStyle w:val="16"/>
                <w:rFonts w:eastAsia="宋体"/>
                <w:lang w:val="en-US" w:eastAsia="zh-CN" w:bidi="ar"/>
              </w:rPr>
              <w:t>=</w:t>
            </w:r>
            <w:r>
              <w:rPr>
                <w:rStyle w:val="15"/>
                <w:lang w:val="en-US" w:eastAsia="zh-CN" w:bidi="ar"/>
              </w:rPr>
              <w:t>完成及时率</w:t>
            </w:r>
            <w:r>
              <w:rPr>
                <w:rStyle w:val="16"/>
                <w:rFonts w:eastAsia="宋体"/>
                <w:lang w:val="en-US" w:eastAsia="zh-CN" w:bidi="ar"/>
              </w:rPr>
              <w:t>×4</w:t>
            </w:r>
            <w:r>
              <w:rPr>
                <w:rStyle w:val="15"/>
                <w:lang w:val="en-US" w:eastAsia="zh-CN" w:bidi="ar"/>
              </w:rPr>
              <w:t>分。</w:t>
            </w:r>
          </w:p>
        </w:tc>
        <w:tc>
          <w:tcPr>
            <w:tcW w:w="2115" w:type="dxa"/>
            <w:tcBorders>
              <w:tl2br w:val="nil"/>
              <w:tr2bl w:val="nil"/>
            </w:tcBorders>
            <w:noWrap w:val="0"/>
            <w:vAlign w:val="center"/>
          </w:tcPr>
          <w:p w14:paraId="06F57BD8">
            <w:pPr>
              <w:jc w:val="left"/>
              <w:rPr>
                <w:rFonts w:hint="default" w:ascii="Times New Roman" w:hAnsi="Times New Roman" w:eastAsia="宋体" w:cs="Times New Roman"/>
                <w:i w:val="0"/>
                <w:iCs w:val="0"/>
                <w:color w:val="000000"/>
                <w:sz w:val="18"/>
                <w:szCs w:val="18"/>
                <w:u w:val="none"/>
              </w:rPr>
            </w:pPr>
          </w:p>
        </w:tc>
        <w:tc>
          <w:tcPr>
            <w:tcW w:w="586" w:type="dxa"/>
            <w:tcBorders>
              <w:tl2br w:val="nil"/>
              <w:tr2bl w:val="nil"/>
            </w:tcBorders>
            <w:noWrap w:val="0"/>
            <w:vAlign w:val="center"/>
          </w:tcPr>
          <w:p w14:paraId="1EAC8B24">
            <w:pPr>
              <w:jc w:val="left"/>
              <w:rPr>
                <w:rFonts w:hint="eastAsia" w:ascii="Times New Roman" w:hAnsi="Times New Roman" w:eastAsia="宋体" w:cs="Times New Roman"/>
                <w:i w:val="0"/>
                <w:iCs w:val="0"/>
                <w:color w:val="000000"/>
                <w:sz w:val="18"/>
                <w:szCs w:val="18"/>
                <w:u w:val="none"/>
                <w:lang w:val="en-US" w:eastAsia="zh-CN"/>
              </w:rPr>
            </w:pPr>
            <w:r>
              <w:rPr>
                <w:rFonts w:hint="eastAsia" w:ascii="Times New Roman" w:hAnsi="Times New Roman" w:cs="Times New Roman"/>
                <w:i w:val="0"/>
                <w:iCs w:val="0"/>
                <w:color w:val="000000"/>
                <w:sz w:val="18"/>
                <w:szCs w:val="18"/>
                <w:u w:val="none"/>
                <w:lang w:val="en-US" w:eastAsia="zh-CN"/>
              </w:rPr>
              <w:t>4</w:t>
            </w:r>
          </w:p>
        </w:tc>
      </w:tr>
      <w:tr w14:paraId="120047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0" w:hRule="atLeast"/>
          <w:jc w:val="center"/>
        </w:trPr>
        <w:tc>
          <w:tcPr>
            <w:tcW w:w="873" w:type="dxa"/>
            <w:vMerge w:val="continue"/>
            <w:tcBorders>
              <w:tl2br w:val="nil"/>
              <w:tr2bl w:val="nil"/>
            </w:tcBorders>
            <w:noWrap w:val="0"/>
            <w:vAlign w:val="center"/>
          </w:tcPr>
          <w:p w14:paraId="2C2EFDE5">
            <w:pPr>
              <w:jc w:val="center"/>
              <w:rPr>
                <w:rFonts w:hint="default" w:ascii="Times New Roman" w:hAnsi="Times New Roman" w:eastAsia="宋体" w:cs="Times New Roman"/>
                <w:i w:val="0"/>
                <w:iCs w:val="0"/>
                <w:color w:val="000000"/>
                <w:sz w:val="18"/>
                <w:szCs w:val="18"/>
                <w:u w:val="none"/>
              </w:rPr>
            </w:pPr>
          </w:p>
        </w:tc>
        <w:tc>
          <w:tcPr>
            <w:tcW w:w="870" w:type="dxa"/>
            <w:vMerge w:val="continue"/>
            <w:tcBorders>
              <w:tl2br w:val="nil"/>
              <w:tr2bl w:val="nil"/>
            </w:tcBorders>
            <w:noWrap w:val="0"/>
            <w:vAlign w:val="center"/>
          </w:tcPr>
          <w:p w14:paraId="2C7EE04A">
            <w:pPr>
              <w:jc w:val="center"/>
              <w:rPr>
                <w:rFonts w:hint="default" w:ascii="Times New Roman" w:hAnsi="Times New Roman" w:eastAsia="宋体" w:cs="Times New Roman"/>
                <w:i w:val="0"/>
                <w:iCs w:val="0"/>
                <w:color w:val="000000"/>
                <w:sz w:val="18"/>
                <w:szCs w:val="18"/>
                <w:u w:val="none"/>
              </w:rPr>
            </w:pPr>
          </w:p>
        </w:tc>
        <w:tc>
          <w:tcPr>
            <w:tcW w:w="1050" w:type="dxa"/>
            <w:tcBorders>
              <w:tl2br w:val="nil"/>
              <w:tr2bl w:val="nil"/>
            </w:tcBorders>
            <w:noWrap w:val="0"/>
            <w:vAlign w:val="center"/>
          </w:tcPr>
          <w:p w14:paraId="67A8C207">
            <w:pPr>
              <w:keepNext w:val="0"/>
              <w:keepLines w:val="0"/>
              <w:widowControl/>
              <w:suppressLineNumbers w:val="0"/>
              <w:jc w:val="center"/>
              <w:textAlignment w:val="center"/>
              <w:rPr>
                <w:rStyle w:val="15"/>
                <w:lang w:val="en-US" w:eastAsia="zh-CN" w:bidi="ar"/>
              </w:rPr>
            </w:pPr>
            <w:r>
              <w:rPr>
                <w:rStyle w:val="15"/>
                <w:lang w:val="en-US" w:eastAsia="zh-CN" w:bidi="ar"/>
              </w:rPr>
              <w:t>质量</w:t>
            </w:r>
          </w:p>
          <w:p w14:paraId="4302536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15"/>
                <w:lang w:val="en-US" w:eastAsia="zh-CN" w:bidi="ar"/>
              </w:rPr>
              <w:t>达标率</w:t>
            </w:r>
          </w:p>
        </w:tc>
        <w:tc>
          <w:tcPr>
            <w:tcW w:w="495" w:type="dxa"/>
            <w:tcBorders>
              <w:tl2br w:val="nil"/>
              <w:tr2bl w:val="nil"/>
            </w:tcBorders>
            <w:noWrap w:val="0"/>
            <w:vAlign w:val="center"/>
          </w:tcPr>
          <w:p w14:paraId="3D2C70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2570" w:type="dxa"/>
            <w:tcBorders>
              <w:tl2br w:val="nil"/>
              <w:tr2bl w:val="nil"/>
            </w:tcBorders>
            <w:noWrap w:val="0"/>
            <w:vAlign w:val="center"/>
          </w:tcPr>
          <w:p w14:paraId="7C025C0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5"/>
                <w:lang w:val="en-US" w:eastAsia="zh-CN" w:bidi="ar"/>
              </w:rPr>
              <w:t>达到质量标准（绩效标准值）的实际工作数与计划工作数的比率</w:t>
            </w:r>
            <w:r>
              <w:rPr>
                <w:rStyle w:val="16"/>
                <w:rFonts w:eastAsia="宋体"/>
                <w:lang w:val="en-US" w:eastAsia="zh-CN" w:bidi="ar"/>
              </w:rPr>
              <w:t>,</w:t>
            </w:r>
            <w:r>
              <w:rPr>
                <w:rStyle w:val="15"/>
                <w:lang w:val="en-US" w:eastAsia="zh-CN" w:bidi="ar"/>
              </w:rPr>
              <w:t>用以反映和考核部门履职质量目标的实现程度。</w:t>
            </w:r>
          </w:p>
        </w:tc>
        <w:tc>
          <w:tcPr>
            <w:tcW w:w="5112" w:type="dxa"/>
            <w:tcBorders>
              <w:tl2br w:val="nil"/>
              <w:tr2bl w:val="nil"/>
            </w:tcBorders>
            <w:noWrap w:val="0"/>
            <w:vAlign w:val="center"/>
          </w:tcPr>
          <w:p w14:paraId="40B65481">
            <w:pPr>
              <w:keepNext w:val="0"/>
              <w:keepLines w:val="0"/>
              <w:widowControl/>
              <w:suppressLineNumbers w:val="0"/>
              <w:jc w:val="left"/>
              <w:textAlignment w:val="center"/>
              <w:rPr>
                <w:rStyle w:val="15"/>
                <w:lang w:val="en-US" w:eastAsia="zh-CN" w:bidi="ar"/>
              </w:rPr>
            </w:pPr>
          </w:p>
          <w:p w14:paraId="325E5C16">
            <w:pPr>
              <w:keepNext w:val="0"/>
              <w:keepLines w:val="0"/>
              <w:widowControl/>
              <w:suppressLineNumbers w:val="0"/>
              <w:jc w:val="left"/>
              <w:textAlignment w:val="center"/>
              <w:rPr>
                <w:rStyle w:val="15"/>
                <w:lang w:val="en-US" w:eastAsia="zh-CN" w:bidi="ar"/>
              </w:rPr>
            </w:pPr>
            <w:r>
              <w:rPr>
                <w:rStyle w:val="15"/>
                <w:lang w:val="en-US" w:eastAsia="zh-CN" w:bidi="ar"/>
              </w:rPr>
              <w:t>质量达标率</w:t>
            </w:r>
            <w:r>
              <w:rPr>
                <w:rStyle w:val="16"/>
                <w:rFonts w:eastAsia="宋体"/>
                <w:lang w:val="en-US" w:eastAsia="zh-CN" w:bidi="ar"/>
              </w:rPr>
              <w:t>=</w:t>
            </w:r>
            <w:r>
              <w:rPr>
                <w:rStyle w:val="15"/>
                <w:lang w:val="en-US" w:eastAsia="zh-CN" w:bidi="ar"/>
              </w:rPr>
              <w:t>（质量达标实际工作数</w:t>
            </w:r>
            <w:r>
              <w:rPr>
                <w:rStyle w:val="16"/>
                <w:rFonts w:eastAsia="宋体"/>
                <w:lang w:val="en-US" w:eastAsia="zh-CN" w:bidi="ar"/>
              </w:rPr>
              <w:t>/</w:t>
            </w:r>
            <w:r>
              <w:rPr>
                <w:rStyle w:val="15"/>
                <w:lang w:val="en-US" w:eastAsia="zh-CN" w:bidi="ar"/>
              </w:rPr>
              <w:t>计划工作数）</w:t>
            </w:r>
            <w:r>
              <w:rPr>
                <w:rStyle w:val="16"/>
                <w:rFonts w:eastAsia="宋体"/>
                <w:lang w:val="en-US" w:eastAsia="zh-CN" w:bidi="ar"/>
              </w:rPr>
              <w:t>×100%</w:t>
            </w:r>
            <w:r>
              <w:rPr>
                <w:rStyle w:val="15"/>
                <w:lang w:val="en-US" w:eastAsia="zh-CN" w:bidi="ar"/>
              </w:rPr>
              <w:t>。质量达标实际工作数：一定时期（年度或规划期）内部门实际完成工作数中达到部门绩效目标要求（绩效标准值）的工作任务数量。</w:t>
            </w:r>
          </w:p>
          <w:p w14:paraId="6D3FDE4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5"/>
                <w:lang w:val="en-US" w:eastAsia="zh-CN" w:bidi="ar"/>
              </w:rPr>
              <w:t>该项得分</w:t>
            </w:r>
            <w:r>
              <w:rPr>
                <w:rStyle w:val="16"/>
                <w:rFonts w:eastAsia="宋体"/>
                <w:lang w:val="en-US" w:eastAsia="zh-CN" w:bidi="ar"/>
              </w:rPr>
              <w:t>=</w:t>
            </w:r>
            <w:r>
              <w:rPr>
                <w:rStyle w:val="15"/>
                <w:lang w:val="en-US" w:eastAsia="zh-CN" w:bidi="ar"/>
              </w:rPr>
              <w:t>达标率</w:t>
            </w:r>
            <w:r>
              <w:rPr>
                <w:rStyle w:val="16"/>
                <w:rFonts w:eastAsia="宋体"/>
                <w:lang w:val="en-US" w:eastAsia="zh-CN" w:bidi="ar"/>
              </w:rPr>
              <w:t>×4</w:t>
            </w:r>
            <w:r>
              <w:rPr>
                <w:rStyle w:val="15"/>
                <w:lang w:val="en-US" w:eastAsia="zh-CN" w:bidi="ar"/>
              </w:rPr>
              <w:t>分。</w:t>
            </w:r>
          </w:p>
        </w:tc>
        <w:tc>
          <w:tcPr>
            <w:tcW w:w="2115" w:type="dxa"/>
            <w:tcBorders>
              <w:tl2br w:val="nil"/>
              <w:tr2bl w:val="nil"/>
            </w:tcBorders>
            <w:noWrap w:val="0"/>
            <w:vAlign w:val="center"/>
          </w:tcPr>
          <w:p w14:paraId="40A88F56">
            <w:pPr>
              <w:jc w:val="left"/>
              <w:rPr>
                <w:rFonts w:hint="default" w:ascii="Times New Roman" w:hAnsi="Times New Roman" w:eastAsia="宋体" w:cs="Times New Roman"/>
                <w:i w:val="0"/>
                <w:iCs w:val="0"/>
                <w:color w:val="000000"/>
                <w:sz w:val="18"/>
                <w:szCs w:val="18"/>
                <w:u w:val="none"/>
              </w:rPr>
            </w:pPr>
          </w:p>
        </w:tc>
        <w:tc>
          <w:tcPr>
            <w:tcW w:w="586" w:type="dxa"/>
            <w:tcBorders>
              <w:tl2br w:val="nil"/>
              <w:tr2bl w:val="nil"/>
            </w:tcBorders>
            <w:noWrap w:val="0"/>
            <w:vAlign w:val="center"/>
          </w:tcPr>
          <w:p w14:paraId="68948680">
            <w:pPr>
              <w:jc w:val="left"/>
              <w:rPr>
                <w:rFonts w:hint="eastAsia" w:ascii="Times New Roman" w:hAnsi="Times New Roman" w:eastAsia="宋体" w:cs="Times New Roman"/>
                <w:i w:val="0"/>
                <w:iCs w:val="0"/>
                <w:color w:val="000000"/>
                <w:sz w:val="18"/>
                <w:szCs w:val="18"/>
                <w:u w:val="none"/>
                <w:lang w:val="en-US" w:eastAsia="zh-CN"/>
              </w:rPr>
            </w:pPr>
            <w:r>
              <w:rPr>
                <w:rFonts w:hint="eastAsia" w:ascii="Times New Roman" w:hAnsi="Times New Roman" w:cs="Times New Roman"/>
                <w:i w:val="0"/>
                <w:iCs w:val="0"/>
                <w:color w:val="000000"/>
                <w:sz w:val="18"/>
                <w:szCs w:val="18"/>
                <w:u w:val="none"/>
                <w:lang w:val="en-US" w:eastAsia="zh-CN"/>
              </w:rPr>
              <w:t>4</w:t>
            </w:r>
          </w:p>
        </w:tc>
      </w:tr>
      <w:tr w14:paraId="573386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65" w:hRule="atLeast"/>
          <w:jc w:val="center"/>
        </w:trPr>
        <w:tc>
          <w:tcPr>
            <w:tcW w:w="873" w:type="dxa"/>
            <w:vMerge w:val="continue"/>
            <w:tcBorders>
              <w:tl2br w:val="nil"/>
              <w:tr2bl w:val="nil"/>
            </w:tcBorders>
            <w:noWrap w:val="0"/>
            <w:vAlign w:val="center"/>
          </w:tcPr>
          <w:p w14:paraId="6F789611">
            <w:pPr>
              <w:jc w:val="center"/>
              <w:rPr>
                <w:rFonts w:hint="default" w:ascii="Times New Roman" w:hAnsi="Times New Roman" w:eastAsia="宋体" w:cs="Times New Roman"/>
                <w:i w:val="0"/>
                <w:iCs w:val="0"/>
                <w:color w:val="000000"/>
                <w:sz w:val="18"/>
                <w:szCs w:val="18"/>
                <w:u w:val="none"/>
              </w:rPr>
            </w:pPr>
          </w:p>
        </w:tc>
        <w:tc>
          <w:tcPr>
            <w:tcW w:w="870" w:type="dxa"/>
            <w:vMerge w:val="continue"/>
            <w:tcBorders>
              <w:tl2br w:val="nil"/>
              <w:tr2bl w:val="nil"/>
            </w:tcBorders>
            <w:noWrap w:val="0"/>
            <w:vAlign w:val="center"/>
          </w:tcPr>
          <w:p w14:paraId="0E0FCCD8">
            <w:pPr>
              <w:jc w:val="center"/>
              <w:rPr>
                <w:rFonts w:hint="default" w:ascii="Times New Roman" w:hAnsi="Times New Roman" w:eastAsia="宋体" w:cs="Times New Roman"/>
                <w:i w:val="0"/>
                <w:iCs w:val="0"/>
                <w:color w:val="000000"/>
                <w:sz w:val="18"/>
                <w:szCs w:val="18"/>
                <w:u w:val="none"/>
              </w:rPr>
            </w:pPr>
          </w:p>
        </w:tc>
        <w:tc>
          <w:tcPr>
            <w:tcW w:w="1050" w:type="dxa"/>
            <w:tcBorders>
              <w:tl2br w:val="nil"/>
              <w:tr2bl w:val="nil"/>
            </w:tcBorders>
            <w:noWrap w:val="0"/>
            <w:vAlign w:val="center"/>
          </w:tcPr>
          <w:p w14:paraId="55C848A4">
            <w:pPr>
              <w:keepNext w:val="0"/>
              <w:keepLines w:val="0"/>
              <w:widowControl/>
              <w:suppressLineNumbers w:val="0"/>
              <w:jc w:val="center"/>
              <w:textAlignment w:val="center"/>
              <w:rPr>
                <w:rStyle w:val="15"/>
                <w:lang w:val="en-US" w:eastAsia="zh-CN" w:bidi="ar"/>
              </w:rPr>
            </w:pPr>
            <w:r>
              <w:rPr>
                <w:rStyle w:val="15"/>
                <w:lang w:val="en-US" w:eastAsia="zh-CN" w:bidi="ar"/>
              </w:rPr>
              <w:t>重点工作</w:t>
            </w:r>
          </w:p>
          <w:p w14:paraId="1758AF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15"/>
                <w:lang w:val="en-US" w:eastAsia="zh-CN" w:bidi="ar"/>
              </w:rPr>
              <w:t>办结率</w:t>
            </w:r>
          </w:p>
        </w:tc>
        <w:tc>
          <w:tcPr>
            <w:tcW w:w="495" w:type="dxa"/>
            <w:tcBorders>
              <w:tl2br w:val="nil"/>
              <w:tr2bl w:val="nil"/>
            </w:tcBorders>
            <w:noWrap w:val="0"/>
            <w:vAlign w:val="center"/>
          </w:tcPr>
          <w:p w14:paraId="128B87B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2570" w:type="dxa"/>
            <w:tcBorders>
              <w:tl2br w:val="nil"/>
              <w:tr2bl w:val="nil"/>
            </w:tcBorders>
            <w:noWrap w:val="0"/>
            <w:vAlign w:val="center"/>
          </w:tcPr>
          <w:p w14:paraId="04D554C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5"/>
                <w:lang w:val="en-US" w:eastAsia="zh-CN" w:bidi="ar"/>
              </w:rPr>
              <w:t>部门年度重点工作实际完成数与交办或下达数的比率，用以反映部门对重点工作的办理落实程度。</w:t>
            </w:r>
          </w:p>
        </w:tc>
        <w:tc>
          <w:tcPr>
            <w:tcW w:w="5112" w:type="dxa"/>
            <w:tcBorders>
              <w:tl2br w:val="nil"/>
              <w:tr2bl w:val="nil"/>
            </w:tcBorders>
            <w:noWrap w:val="0"/>
            <w:vAlign w:val="center"/>
          </w:tcPr>
          <w:p w14:paraId="46D0B1C6">
            <w:pPr>
              <w:keepNext w:val="0"/>
              <w:keepLines w:val="0"/>
              <w:widowControl/>
              <w:suppressLineNumbers w:val="0"/>
              <w:jc w:val="left"/>
              <w:textAlignment w:val="center"/>
              <w:rPr>
                <w:rStyle w:val="15"/>
                <w:lang w:val="en-US" w:eastAsia="zh-CN" w:bidi="ar"/>
              </w:rPr>
            </w:pPr>
            <w:r>
              <w:rPr>
                <w:rStyle w:val="15"/>
                <w:lang w:val="en-US" w:eastAsia="zh-CN" w:bidi="ar"/>
              </w:rPr>
              <w:t>重点工作办结率</w:t>
            </w:r>
            <w:r>
              <w:rPr>
                <w:rStyle w:val="16"/>
                <w:rFonts w:eastAsia="宋体"/>
                <w:lang w:val="en-US" w:eastAsia="zh-CN" w:bidi="ar"/>
              </w:rPr>
              <w:t>=</w:t>
            </w:r>
            <w:r>
              <w:rPr>
                <w:rStyle w:val="15"/>
                <w:lang w:val="en-US" w:eastAsia="zh-CN" w:bidi="ar"/>
              </w:rPr>
              <w:t>（重点工作实际完成数</w:t>
            </w:r>
            <w:r>
              <w:rPr>
                <w:rStyle w:val="16"/>
                <w:rFonts w:eastAsia="宋体"/>
                <w:lang w:val="en-US" w:eastAsia="zh-CN" w:bidi="ar"/>
              </w:rPr>
              <w:t>/</w:t>
            </w:r>
            <w:r>
              <w:rPr>
                <w:rStyle w:val="15"/>
                <w:lang w:val="en-US" w:eastAsia="zh-CN" w:bidi="ar"/>
              </w:rPr>
              <w:t>交办或下达数）</w:t>
            </w:r>
            <w:r>
              <w:rPr>
                <w:rStyle w:val="16"/>
                <w:rFonts w:eastAsia="宋体"/>
                <w:lang w:val="en-US" w:eastAsia="zh-CN" w:bidi="ar"/>
              </w:rPr>
              <w:t>×100%</w:t>
            </w:r>
            <w:r>
              <w:rPr>
                <w:rStyle w:val="15"/>
                <w:lang w:val="en-US" w:eastAsia="zh-CN" w:bidi="ar"/>
              </w:rPr>
              <w:t>。</w:t>
            </w:r>
          </w:p>
          <w:p w14:paraId="51B0955D">
            <w:pPr>
              <w:keepNext w:val="0"/>
              <w:keepLines w:val="0"/>
              <w:widowControl/>
              <w:suppressLineNumbers w:val="0"/>
              <w:jc w:val="left"/>
              <w:textAlignment w:val="center"/>
              <w:rPr>
                <w:rStyle w:val="15"/>
                <w:lang w:val="en-US" w:eastAsia="zh-CN" w:bidi="ar"/>
              </w:rPr>
            </w:pPr>
            <w:r>
              <w:rPr>
                <w:rStyle w:val="15"/>
                <w:lang w:val="en-US" w:eastAsia="zh-CN" w:bidi="ar"/>
              </w:rPr>
              <w:t>重点工作是指党委、政府、人大、相关部门交办或下达的工作任务。</w:t>
            </w:r>
          </w:p>
          <w:p w14:paraId="67E117D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5"/>
                <w:lang w:val="en-US" w:eastAsia="zh-CN" w:bidi="ar"/>
              </w:rPr>
              <w:t>该项得分</w:t>
            </w:r>
            <w:r>
              <w:rPr>
                <w:rStyle w:val="16"/>
                <w:rFonts w:eastAsia="宋体"/>
                <w:lang w:val="en-US" w:eastAsia="zh-CN" w:bidi="ar"/>
              </w:rPr>
              <w:t>=</w:t>
            </w:r>
            <w:r>
              <w:rPr>
                <w:rStyle w:val="15"/>
                <w:lang w:val="en-US" w:eastAsia="zh-CN" w:bidi="ar"/>
              </w:rPr>
              <w:t>办结率</w:t>
            </w:r>
            <w:r>
              <w:rPr>
                <w:rStyle w:val="16"/>
                <w:rFonts w:eastAsia="宋体"/>
                <w:lang w:val="en-US" w:eastAsia="zh-CN" w:bidi="ar"/>
              </w:rPr>
              <w:t>×4</w:t>
            </w:r>
            <w:r>
              <w:rPr>
                <w:rStyle w:val="15"/>
                <w:lang w:val="en-US" w:eastAsia="zh-CN" w:bidi="ar"/>
              </w:rPr>
              <w:t>分。</w:t>
            </w:r>
          </w:p>
        </w:tc>
        <w:tc>
          <w:tcPr>
            <w:tcW w:w="2115" w:type="dxa"/>
            <w:tcBorders>
              <w:tl2br w:val="nil"/>
              <w:tr2bl w:val="nil"/>
            </w:tcBorders>
            <w:noWrap w:val="0"/>
            <w:vAlign w:val="center"/>
          </w:tcPr>
          <w:p w14:paraId="0002875F">
            <w:pPr>
              <w:jc w:val="left"/>
              <w:rPr>
                <w:rFonts w:hint="default" w:ascii="Times New Roman" w:hAnsi="Times New Roman" w:eastAsia="宋体" w:cs="Times New Roman"/>
                <w:i w:val="0"/>
                <w:iCs w:val="0"/>
                <w:color w:val="000000"/>
                <w:sz w:val="18"/>
                <w:szCs w:val="18"/>
                <w:u w:val="none"/>
              </w:rPr>
            </w:pPr>
          </w:p>
        </w:tc>
        <w:tc>
          <w:tcPr>
            <w:tcW w:w="586" w:type="dxa"/>
            <w:tcBorders>
              <w:tl2br w:val="nil"/>
              <w:tr2bl w:val="nil"/>
            </w:tcBorders>
            <w:noWrap w:val="0"/>
            <w:vAlign w:val="center"/>
          </w:tcPr>
          <w:p w14:paraId="2B483156">
            <w:pPr>
              <w:jc w:val="left"/>
              <w:rPr>
                <w:rFonts w:hint="eastAsia" w:ascii="Times New Roman" w:hAnsi="Times New Roman" w:eastAsia="宋体" w:cs="Times New Roman"/>
                <w:i w:val="0"/>
                <w:iCs w:val="0"/>
                <w:color w:val="000000"/>
                <w:sz w:val="18"/>
                <w:szCs w:val="18"/>
                <w:u w:val="none"/>
                <w:lang w:val="en-US" w:eastAsia="zh-CN"/>
              </w:rPr>
            </w:pPr>
            <w:r>
              <w:rPr>
                <w:rFonts w:hint="eastAsia" w:ascii="Times New Roman" w:hAnsi="Times New Roman" w:cs="Times New Roman"/>
                <w:i w:val="0"/>
                <w:iCs w:val="0"/>
                <w:color w:val="000000"/>
                <w:sz w:val="18"/>
                <w:szCs w:val="18"/>
                <w:u w:val="none"/>
                <w:lang w:val="en-US" w:eastAsia="zh-CN"/>
              </w:rPr>
              <w:t>4</w:t>
            </w:r>
          </w:p>
        </w:tc>
      </w:tr>
      <w:tr w14:paraId="3987BC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5" w:hRule="atLeast"/>
          <w:jc w:val="center"/>
        </w:trPr>
        <w:tc>
          <w:tcPr>
            <w:tcW w:w="873" w:type="dxa"/>
            <w:vMerge w:val="restart"/>
            <w:tcBorders>
              <w:tl2br w:val="nil"/>
              <w:tr2bl w:val="nil"/>
            </w:tcBorders>
            <w:noWrap w:val="0"/>
            <w:vAlign w:val="center"/>
          </w:tcPr>
          <w:p w14:paraId="43D8918F">
            <w:pPr>
              <w:keepNext w:val="0"/>
              <w:keepLines w:val="0"/>
              <w:widowControl/>
              <w:suppressLineNumbers w:val="0"/>
              <w:jc w:val="center"/>
              <w:textAlignment w:val="center"/>
              <w:rPr>
                <w:rStyle w:val="13"/>
                <w:lang w:val="en-US" w:eastAsia="zh-CN" w:bidi="ar"/>
              </w:rPr>
            </w:pPr>
            <w:r>
              <w:rPr>
                <w:rStyle w:val="13"/>
                <w:lang w:val="en-US" w:eastAsia="zh-CN" w:bidi="ar"/>
              </w:rPr>
              <w:t>效果</w:t>
            </w:r>
          </w:p>
          <w:p w14:paraId="449D51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13"/>
                <w:lang w:val="en-US" w:eastAsia="zh-CN" w:bidi="ar"/>
              </w:rPr>
              <w:t>（</w:t>
            </w:r>
            <w:r>
              <w:rPr>
                <w:rStyle w:val="14"/>
                <w:rFonts w:eastAsia="宋体"/>
                <w:lang w:val="en-US" w:eastAsia="zh-CN" w:bidi="ar"/>
              </w:rPr>
              <w:t>17</w:t>
            </w:r>
            <w:r>
              <w:rPr>
                <w:rStyle w:val="13"/>
                <w:lang w:val="en-US" w:eastAsia="zh-CN" w:bidi="ar"/>
              </w:rPr>
              <w:t>分）</w:t>
            </w:r>
          </w:p>
        </w:tc>
        <w:tc>
          <w:tcPr>
            <w:tcW w:w="870" w:type="dxa"/>
            <w:vMerge w:val="restart"/>
            <w:tcBorders>
              <w:tl2br w:val="nil"/>
              <w:tr2bl w:val="nil"/>
            </w:tcBorders>
            <w:noWrap w:val="0"/>
            <w:vAlign w:val="center"/>
          </w:tcPr>
          <w:p w14:paraId="122081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15"/>
                <w:lang w:val="en-US" w:eastAsia="zh-CN" w:bidi="ar"/>
              </w:rPr>
              <w:t>履职效益（</w:t>
            </w:r>
            <w:r>
              <w:rPr>
                <w:rStyle w:val="16"/>
                <w:rFonts w:eastAsia="宋体"/>
                <w:lang w:val="en-US" w:eastAsia="zh-CN" w:bidi="ar"/>
              </w:rPr>
              <w:t>17</w:t>
            </w:r>
            <w:r>
              <w:rPr>
                <w:rStyle w:val="15"/>
                <w:lang w:val="en-US" w:eastAsia="zh-CN" w:bidi="ar"/>
              </w:rPr>
              <w:t>分）</w:t>
            </w:r>
          </w:p>
        </w:tc>
        <w:tc>
          <w:tcPr>
            <w:tcW w:w="1050" w:type="dxa"/>
            <w:tcBorders>
              <w:tl2br w:val="nil"/>
              <w:tr2bl w:val="nil"/>
            </w:tcBorders>
            <w:noWrap w:val="0"/>
            <w:vAlign w:val="center"/>
          </w:tcPr>
          <w:p w14:paraId="38EAD639">
            <w:pPr>
              <w:keepNext w:val="0"/>
              <w:keepLines w:val="0"/>
              <w:widowControl/>
              <w:suppressLineNumbers w:val="0"/>
              <w:jc w:val="center"/>
              <w:textAlignment w:val="center"/>
              <w:rPr>
                <w:rStyle w:val="15"/>
                <w:lang w:val="en-US" w:eastAsia="zh-CN" w:bidi="ar"/>
              </w:rPr>
            </w:pPr>
            <w:r>
              <w:rPr>
                <w:rStyle w:val="15"/>
                <w:lang w:val="en-US" w:eastAsia="zh-CN" w:bidi="ar"/>
              </w:rPr>
              <w:t>经济</w:t>
            </w:r>
          </w:p>
          <w:p w14:paraId="23D84A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15"/>
                <w:lang w:val="en-US" w:eastAsia="zh-CN" w:bidi="ar"/>
              </w:rPr>
              <w:t>效益</w:t>
            </w:r>
          </w:p>
        </w:tc>
        <w:tc>
          <w:tcPr>
            <w:tcW w:w="495" w:type="dxa"/>
            <w:vMerge w:val="restart"/>
            <w:tcBorders>
              <w:tl2br w:val="nil"/>
              <w:tr2bl w:val="nil"/>
            </w:tcBorders>
            <w:noWrap w:val="0"/>
            <w:vAlign w:val="center"/>
          </w:tcPr>
          <w:p w14:paraId="0604F5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2570" w:type="dxa"/>
            <w:vMerge w:val="restart"/>
            <w:tcBorders>
              <w:tl2br w:val="nil"/>
              <w:tr2bl w:val="nil"/>
            </w:tcBorders>
            <w:noWrap w:val="0"/>
            <w:vAlign w:val="center"/>
          </w:tcPr>
          <w:p w14:paraId="124F59E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5"/>
                <w:lang w:val="en-US" w:eastAsia="zh-CN" w:bidi="ar"/>
              </w:rPr>
              <w:t>部门履行职责对经济发展、社会发展、生态环境所带来的直接或间接影响。</w:t>
            </w:r>
          </w:p>
        </w:tc>
        <w:tc>
          <w:tcPr>
            <w:tcW w:w="5112" w:type="dxa"/>
            <w:vMerge w:val="restart"/>
            <w:tcBorders>
              <w:tl2br w:val="nil"/>
              <w:tr2bl w:val="nil"/>
            </w:tcBorders>
            <w:noWrap w:val="0"/>
            <w:vAlign w:val="center"/>
          </w:tcPr>
          <w:p w14:paraId="4C05D935">
            <w:pPr>
              <w:keepNext w:val="0"/>
              <w:keepLines w:val="0"/>
              <w:widowControl/>
              <w:suppressLineNumbers w:val="0"/>
              <w:jc w:val="left"/>
              <w:textAlignment w:val="center"/>
              <w:rPr>
                <w:rStyle w:val="15"/>
                <w:lang w:val="en-US" w:eastAsia="zh-CN" w:bidi="ar"/>
              </w:rPr>
            </w:pPr>
            <w:r>
              <w:rPr>
                <w:rStyle w:val="15"/>
                <w:lang w:val="en-US" w:eastAsia="zh-CN" w:bidi="ar"/>
              </w:rPr>
              <w:t>此三项指标可根据部门实际并结合部门整体支出绩效目标设立情况有选择的进行评价。</w:t>
            </w:r>
          </w:p>
          <w:p w14:paraId="534D404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Style w:val="15"/>
                <w:lang w:val="en-US" w:eastAsia="zh-CN" w:bidi="ar"/>
              </w:rPr>
              <w:t>该项得分</w:t>
            </w:r>
            <w:r>
              <w:rPr>
                <w:rStyle w:val="16"/>
                <w:rFonts w:eastAsia="宋体"/>
                <w:lang w:val="en-US" w:eastAsia="zh-CN" w:bidi="ar"/>
              </w:rPr>
              <w:t>=</w:t>
            </w:r>
            <w:r>
              <w:rPr>
                <w:rStyle w:val="15"/>
                <w:lang w:val="en-US" w:eastAsia="zh-CN" w:bidi="ar"/>
              </w:rPr>
              <w:t>依据评价内容相应计分。</w:t>
            </w:r>
          </w:p>
        </w:tc>
        <w:tc>
          <w:tcPr>
            <w:tcW w:w="2115" w:type="dxa"/>
            <w:tcBorders>
              <w:tl2br w:val="nil"/>
              <w:tr2bl w:val="nil"/>
            </w:tcBorders>
            <w:noWrap w:val="0"/>
            <w:vAlign w:val="center"/>
          </w:tcPr>
          <w:p w14:paraId="4650A328">
            <w:pPr>
              <w:jc w:val="left"/>
              <w:rPr>
                <w:rFonts w:hint="default" w:ascii="Times New Roman" w:hAnsi="Times New Roman" w:eastAsia="宋体" w:cs="Times New Roman"/>
                <w:i w:val="0"/>
                <w:iCs w:val="0"/>
                <w:color w:val="000000"/>
                <w:sz w:val="18"/>
                <w:szCs w:val="18"/>
                <w:u w:val="none"/>
              </w:rPr>
            </w:pPr>
          </w:p>
        </w:tc>
        <w:tc>
          <w:tcPr>
            <w:tcW w:w="586" w:type="dxa"/>
            <w:tcBorders>
              <w:tl2br w:val="nil"/>
              <w:tr2bl w:val="nil"/>
            </w:tcBorders>
            <w:noWrap w:val="0"/>
            <w:vAlign w:val="center"/>
          </w:tcPr>
          <w:p w14:paraId="61F47CCC">
            <w:pPr>
              <w:jc w:val="left"/>
              <w:rPr>
                <w:rFonts w:hint="eastAsia" w:ascii="Times New Roman" w:hAnsi="Times New Roman" w:eastAsia="宋体" w:cs="Times New Roman"/>
                <w:i w:val="0"/>
                <w:iCs w:val="0"/>
                <w:color w:val="000000"/>
                <w:sz w:val="18"/>
                <w:szCs w:val="18"/>
                <w:u w:val="none"/>
                <w:lang w:val="en-US" w:eastAsia="zh-CN"/>
              </w:rPr>
            </w:pPr>
            <w:r>
              <w:rPr>
                <w:rFonts w:hint="eastAsia" w:ascii="Times New Roman" w:hAnsi="Times New Roman" w:cs="Times New Roman"/>
                <w:i w:val="0"/>
                <w:iCs w:val="0"/>
                <w:color w:val="000000"/>
                <w:sz w:val="18"/>
                <w:szCs w:val="18"/>
                <w:u w:val="none"/>
                <w:lang w:val="en-US" w:eastAsia="zh-CN"/>
              </w:rPr>
              <w:t>3</w:t>
            </w:r>
          </w:p>
        </w:tc>
      </w:tr>
      <w:tr w14:paraId="71DF48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5" w:hRule="atLeast"/>
          <w:jc w:val="center"/>
        </w:trPr>
        <w:tc>
          <w:tcPr>
            <w:tcW w:w="873" w:type="dxa"/>
            <w:vMerge w:val="continue"/>
            <w:tcBorders>
              <w:tl2br w:val="nil"/>
              <w:tr2bl w:val="nil"/>
            </w:tcBorders>
            <w:noWrap w:val="0"/>
            <w:vAlign w:val="center"/>
          </w:tcPr>
          <w:p w14:paraId="458D1813">
            <w:pPr>
              <w:jc w:val="center"/>
              <w:rPr>
                <w:rFonts w:hint="default" w:ascii="Times New Roman" w:hAnsi="Times New Roman" w:eastAsia="宋体" w:cs="Times New Roman"/>
                <w:i w:val="0"/>
                <w:iCs w:val="0"/>
                <w:color w:val="000000"/>
                <w:sz w:val="18"/>
                <w:szCs w:val="18"/>
                <w:u w:val="none"/>
              </w:rPr>
            </w:pPr>
          </w:p>
        </w:tc>
        <w:tc>
          <w:tcPr>
            <w:tcW w:w="870" w:type="dxa"/>
            <w:vMerge w:val="continue"/>
            <w:tcBorders>
              <w:tl2br w:val="nil"/>
              <w:tr2bl w:val="nil"/>
            </w:tcBorders>
            <w:noWrap w:val="0"/>
            <w:vAlign w:val="center"/>
          </w:tcPr>
          <w:p w14:paraId="57C32EC0">
            <w:pPr>
              <w:jc w:val="center"/>
              <w:rPr>
                <w:rFonts w:hint="default" w:ascii="Times New Roman" w:hAnsi="Times New Roman" w:eastAsia="宋体" w:cs="Times New Roman"/>
                <w:i w:val="0"/>
                <w:iCs w:val="0"/>
                <w:color w:val="000000"/>
                <w:sz w:val="18"/>
                <w:szCs w:val="18"/>
                <w:u w:val="none"/>
              </w:rPr>
            </w:pPr>
          </w:p>
        </w:tc>
        <w:tc>
          <w:tcPr>
            <w:tcW w:w="1050" w:type="dxa"/>
            <w:tcBorders>
              <w:tl2br w:val="nil"/>
              <w:tr2bl w:val="nil"/>
            </w:tcBorders>
            <w:noWrap w:val="0"/>
            <w:vAlign w:val="center"/>
          </w:tcPr>
          <w:p w14:paraId="1CC94315">
            <w:pPr>
              <w:keepNext w:val="0"/>
              <w:keepLines w:val="0"/>
              <w:widowControl/>
              <w:suppressLineNumbers w:val="0"/>
              <w:jc w:val="center"/>
              <w:textAlignment w:val="center"/>
              <w:rPr>
                <w:rStyle w:val="15"/>
                <w:lang w:val="en-US" w:eastAsia="zh-CN" w:bidi="ar"/>
              </w:rPr>
            </w:pPr>
            <w:r>
              <w:rPr>
                <w:rStyle w:val="15"/>
                <w:lang w:val="en-US" w:eastAsia="zh-CN" w:bidi="ar"/>
              </w:rPr>
              <w:t>社会</w:t>
            </w:r>
          </w:p>
          <w:p w14:paraId="5BBAE9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15"/>
                <w:lang w:val="en-US" w:eastAsia="zh-CN" w:bidi="ar"/>
              </w:rPr>
              <w:t>效益</w:t>
            </w:r>
          </w:p>
        </w:tc>
        <w:tc>
          <w:tcPr>
            <w:tcW w:w="495" w:type="dxa"/>
            <w:vMerge w:val="continue"/>
            <w:tcBorders>
              <w:tl2br w:val="nil"/>
              <w:tr2bl w:val="nil"/>
            </w:tcBorders>
            <w:noWrap w:val="0"/>
            <w:vAlign w:val="center"/>
          </w:tcPr>
          <w:p w14:paraId="7F3F8577">
            <w:pPr>
              <w:jc w:val="center"/>
              <w:rPr>
                <w:rFonts w:hint="default" w:ascii="Times New Roman" w:hAnsi="Times New Roman" w:eastAsia="宋体" w:cs="Times New Roman"/>
                <w:i w:val="0"/>
                <w:iCs w:val="0"/>
                <w:color w:val="000000"/>
                <w:sz w:val="18"/>
                <w:szCs w:val="18"/>
                <w:u w:val="none"/>
              </w:rPr>
            </w:pPr>
          </w:p>
        </w:tc>
        <w:tc>
          <w:tcPr>
            <w:tcW w:w="2570" w:type="dxa"/>
            <w:vMerge w:val="continue"/>
            <w:tcBorders>
              <w:tl2br w:val="nil"/>
              <w:tr2bl w:val="nil"/>
            </w:tcBorders>
            <w:noWrap w:val="0"/>
            <w:vAlign w:val="center"/>
          </w:tcPr>
          <w:p w14:paraId="119EAA8F">
            <w:pPr>
              <w:jc w:val="left"/>
              <w:rPr>
                <w:rFonts w:hint="default" w:ascii="Times New Roman" w:hAnsi="Times New Roman" w:eastAsia="宋体" w:cs="Times New Roman"/>
                <w:i w:val="0"/>
                <w:iCs w:val="0"/>
                <w:color w:val="000000"/>
                <w:sz w:val="18"/>
                <w:szCs w:val="18"/>
                <w:u w:val="none"/>
              </w:rPr>
            </w:pPr>
          </w:p>
        </w:tc>
        <w:tc>
          <w:tcPr>
            <w:tcW w:w="5112" w:type="dxa"/>
            <w:vMerge w:val="continue"/>
            <w:tcBorders>
              <w:tl2br w:val="nil"/>
              <w:tr2bl w:val="nil"/>
            </w:tcBorders>
            <w:noWrap w:val="0"/>
            <w:vAlign w:val="center"/>
          </w:tcPr>
          <w:p w14:paraId="67FFFFFE">
            <w:pPr>
              <w:jc w:val="left"/>
              <w:rPr>
                <w:rFonts w:hint="eastAsia" w:ascii="宋体" w:hAnsi="宋体" w:eastAsia="宋体" w:cs="宋体"/>
                <w:i w:val="0"/>
                <w:iCs w:val="0"/>
                <w:color w:val="000000"/>
                <w:sz w:val="18"/>
                <w:szCs w:val="18"/>
                <w:u w:val="none"/>
              </w:rPr>
            </w:pPr>
          </w:p>
        </w:tc>
        <w:tc>
          <w:tcPr>
            <w:tcW w:w="2115" w:type="dxa"/>
            <w:tcBorders>
              <w:tl2br w:val="nil"/>
              <w:tr2bl w:val="nil"/>
            </w:tcBorders>
            <w:noWrap w:val="0"/>
            <w:vAlign w:val="center"/>
          </w:tcPr>
          <w:p w14:paraId="1D8F6E73">
            <w:pPr>
              <w:jc w:val="left"/>
              <w:rPr>
                <w:rFonts w:hint="default" w:ascii="Times New Roman" w:hAnsi="Times New Roman" w:eastAsia="宋体" w:cs="Times New Roman"/>
                <w:i w:val="0"/>
                <w:iCs w:val="0"/>
                <w:color w:val="000000"/>
                <w:sz w:val="18"/>
                <w:szCs w:val="18"/>
                <w:u w:val="none"/>
              </w:rPr>
            </w:pPr>
          </w:p>
        </w:tc>
        <w:tc>
          <w:tcPr>
            <w:tcW w:w="586" w:type="dxa"/>
            <w:tcBorders>
              <w:tl2br w:val="nil"/>
              <w:tr2bl w:val="nil"/>
            </w:tcBorders>
            <w:noWrap w:val="0"/>
            <w:vAlign w:val="center"/>
          </w:tcPr>
          <w:p w14:paraId="0B7C5642">
            <w:pPr>
              <w:jc w:val="left"/>
              <w:rPr>
                <w:rFonts w:hint="default" w:ascii="Times New Roman" w:hAnsi="Times New Roman" w:eastAsia="宋体" w:cs="Times New Roman"/>
                <w:i w:val="0"/>
                <w:iCs w:val="0"/>
                <w:color w:val="000000"/>
                <w:sz w:val="18"/>
                <w:szCs w:val="18"/>
                <w:u w:val="none"/>
                <w:lang w:val="en-US" w:eastAsia="zh-CN"/>
              </w:rPr>
            </w:pPr>
            <w:r>
              <w:rPr>
                <w:rFonts w:hint="eastAsia" w:ascii="Times New Roman" w:hAnsi="Times New Roman" w:cs="Times New Roman"/>
                <w:i w:val="0"/>
                <w:iCs w:val="0"/>
                <w:color w:val="000000"/>
                <w:sz w:val="18"/>
                <w:szCs w:val="18"/>
                <w:u w:val="none"/>
                <w:lang w:val="en-US" w:eastAsia="zh-CN"/>
              </w:rPr>
              <w:t>3</w:t>
            </w:r>
          </w:p>
        </w:tc>
      </w:tr>
      <w:tr w14:paraId="5B724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5" w:hRule="atLeast"/>
          <w:jc w:val="center"/>
        </w:trPr>
        <w:tc>
          <w:tcPr>
            <w:tcW w:w="873" w:type="dxa"/>
            <w:vMerge w:val="continue"/>
            <w:tcBorders>
              <w:tl2br w:val="nil"/>
              <w:tr2bl w:val="nil"/>
            </w:tcBorders>
            <w:noWrap w:val="0"/>
            <w:vAlign w:val="center"/>
          </w:tcPr>
          <w:p w14:paraId="48506A3D">
            <w:pPr>
              <w:jc w:val="center"/>
              <w:rPr>
                <w:rFonts w:hint="default" w:ascii="Times New Roman" w:hAnsi="Times New Roman" w:eastAsia="宋体" w:cs="Times New Roman"/>
                <w:i w:val="0"/>
                <w:iCs w:val="0"/>
                <w:color w:val="000000"/>
                <w:sz w:val="18"/>
                <w:szCs w:val="18"/>
                <w:u w:val="none"/>
              </w:rPr>
            </w:pPr>
          </w:p>
        </w:tc>
        <w:tc>
          <w:tcPr>
            <w:tcW w:w="870" w:type="dxa"/>
            <w:vMerge w:val="continue"/>
            <w:tcBorders>
              <w:tl2br w:val="nil"/>
              <w:tr2bl w:val="nil"/>
            </w:tcBorders>
            <w:noWrap w:val="0"/>
            <w:vAlign w:val="center"/>
          </w:tcPr>
          <w:p w14:paraId="1E56589C">
            <w:pPr>
              <w:jc w:val="center"/>
              <w:rPr>
                <w:rFonts w:hint="default" w:ascii="Times New Roman" w:hAnsi="Times New Roman" w:eastAsia="宋体" w:cs="Times New Roman"/>
                <w:i w:val="0"/>
                <w:iCs w:val="0"/>
                <w:color w:val="000000"/>
                <w:sz w:val="18"/>
                <w:szCs w:val="18"/>
                <w:u w:val="none"/>
              </w:rPr>
            </w:pPr>
          </w:p>
        </w:tc>
        <w:tc>
          <w:tcPr>
            <w:tcW w:w="1050" w:type="dxa"/>
            <w:tcBorders>
              <w:tl2br w:val="nil"/>
              <w:tr2bl w:val="nil"/>
            </w:tcBorders>
            <w:noWrap w:val="0"/>
            <w:vAlign w:val="center"/>
          </w:tcPr>
          <w:p w14:paraId="7B14300A">
            <w:pPr>
              <w:keepNext w:val="0"/>
              <w:keepLines w:val="0"/>
              <w:widowControl/>
              <w:suppressLineNumbers w:val="0"/>
              <w:jc w:val="center"/>
              <w:textAlignment w:val="center"/>
              <w:rPr>
                <w:rStyle w:val="15"/>
                <w:lang w:val="en-US" w:eastAsia="zh-CN" w:bidi="ar"/>
              </w:rPr>
            </w:pPr>
            <w:r>
              <w:rPr>
                <w:rStyle w:val="15"/>
                <w:lang w:val="en-US" w:eastAsia="zh-CN" w:bidi="ar"/>
              </w:rPr>
              <w:t>生态</w:t>
            </w:r>
          </w:p>
          <w:p w14:paraId="6BF0542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15"/>
                <w:lang w:val="en-US" w:eastAsia="zh-CN" w:bidi="ar"/>
              </w:rPr>
              <w:t>效益</w:t>
            </w:r>
          </w:p>
        </w:tc>
        <w:tc>
          <w:tcPr>
            <w:tcW w:w="495" w:type="dxa"/>
            <w:vMerge w:val="continue"/>
            <w:tcBorders>
              <w:tl2br w:val="nil"/>
              <w:tr2bl w:val="nil"/>
            </w:tcBorders>
            <w:noWrap w:val="0"/>
            <w:vAlign w:val="center"/>
          </w:tcPr>
          <w:p w14:paraId="32A59C92">
            <w:pPr>
              <w:jc w:val="center"/>
              <w:rPr>
                <w:rFonts w:hint="default" w:ascii="Times New Roman" w:hAnsi="Times New Roman" w:eastAsia="宋体" w:cs="Times New Roman"/>
                <w:i w:val="0"/>
                <w:iCs w:val="0"/>
                <w:color w:val="000000"/>
                <w:sz w:val="18"/>
                <w:szCs w:val="18"/>
                <w:u w:val="none"/>
              </w:rPr>
            </w:pPr>
          </w:p>
        </w:tc>
        <w:tc>
          <w:tcPr>
            <w:tcW w:w="2570" w:type="dxa"/>
            <w:vMerge w:val="continue"/>
            <w:tcBorders>
              <w:tl2br w:val="nil"/>
              <w:tr2bl w:val="nil"/>
            </w:tcBorders>
            <w:noWrap w:val="0"/>
            <w:vAlign w:val="center"/>
          </w:tcPr>
          <w:p w14:paraId="10075075">
            <w:pPr>
              <w:jc w:val="left"/>
              <w:rPr>
                <w:rFonts w:hint="default" w:ascii="Times New Roman" w:hAnsi="Times New Roman" w:eastAsia="宋体" w:cs="Times New Roman"/>
                <w:i w:val="0"/>
                <w:iCs w:val="0"/>
                <w:color w:val="000000"/>
                <w:sz w:val="18"/>
                <w:szCs w:val="18"/>
                <w:u w:val="none"/>
              </w:rPr>
            </w:pPr>
          </w:p>
        </w:tc>
        <w:tc>
          <w:tcPr>
            <w:tcW w:w="5112" w:type="dxa"/>
            <w:vMerge w:val="continue"/>
            <w:tcBorders>
              <w:tl2br w:val="nil"/>
              <w:tr2bl w:val="nil"/>
            </w:tcBorders>
            <w:noWrap w:val="0"/>
            <w:vAlign w:val="center"/>
          </w:tcPr>
          <w:p w14:paraId="648008C1">
            <w:pPr>
              <w:jc w:val="left"/>
              <w:rPr>
                <w:rFonts w:hint="eastAsia" w:ascii="宋体" w:hAnsi="宋体" w:eastAsia="宋体" w:cs="宋体"/>
                <w:i w:val="0"/>
                <w:iCs w:val="0"/>
                <w:color w:val="000000"/>
                <w:sz w:val="18"/>
                <w:szCs w:val="18"/>
                <w:u w:val="none"/>
              </w:rPr>
            </w:pPr>
          </w:p>
        </w:tc>
        <w:tc>
          <w:tcPr>
            <w:tcW w:w="2115" w:type="dxa"/>
            <w:tcBorders>
              <w:tl2br w:val="nil"/>
              <w:tr2bl w:val="nil"/>
            </w:tcBorders>
            <w:noWrap w:val="0"/>
            <w:vAlign w:val="center"/>
          </w:tcPr>
          <w:p w14:paraId="03FE0BC5">
            <w:pPr>
              <w:jc w:val="left"/>
              <w:rPr>
                <w:rFonts w:hint="default" w:ascii="Times New Roman" w:hAnsi="Times New Roman" w:eastAsia="宋体" w:cs="Times New Roman"/>
                <w:i w:val="0"/>
                <w:iCs w:val="0"/>
                <w:color w:val="000000"/>
                <w:sz w:val="18"/>
                <w:szCs w:val="18"/>
                <w:u w:val="none"/>
              </w:rPr>
            </w:pPr>
          </w:p>
        </w:tc>
        <w:tc>
          <w:tcPr>
            <w:tcW w:w="586" w:type="dxa"/>
            <w:tcBorders>
              <w:tl2br w:val="nil"/>
              <w:tr2bl w:val="nil"/>
            </w:tcBorders>
            <w:noWrap w:val="0"/>
            <w:vAlign w:val="center"/>
          </w:tcPr>
          <w:p w14:paraId="5E668FE8">
            <w:pPr>
              <w:jc w:val="left"/>
              <w:rPr>
                <w:rFonts w:hint="eastAsia" w:ascii="Times New Roman" w:hAnsi="Times New Roman" w:eastAsia="宋体" w:cs="Times New Roman"/>
                <w:i w:val="0"/>
                <w:iCs w:val="0"/>
                <w:color w:val="000000"/>
                <w:sz w:val="18"/>
                <w:szCs w:val="18"/>
                <w:u w:val="none"/>
                <w:lang w:val="en-US" w:eastAsia="zh-CN"/>
              </w:rPr>
            </w:pPr>
            <w:r>
              <w:rPr>
                <w:rFonts w:hint="eastAsia" w:ascii="Times New Roman" w:hAnsi="Times New Roman" w:cs="Times New Roman"/>
                <w:i w:val="0"/>
                <w:iCs w:val="0"/>
                <w:color w:val="000000"/>
                <w:sz w:val="18"/>
                <w:szCs w:val="18"/>
                <w:u w:val="none"/>
                <w:lang w:val="en-US" w:eastAsia="zh-CN"/>
              </w:rPr>
              <w:t>3</w:t>
            </w:r>
          </w:p>
        </w:tc>
      </w:tr>
      <w:tr w14:paraId="4B11B5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0" w:hRule="atLeast"/>
          <w:jc w:val="center"/>
        </w:trPr>
        <w:tc>
          <w:tcPr>
            <w:tcW w:w="873" w:type="dxa"/>
            <w:vMerge w:val="continue"/>
            <w:tcBorders>
              <w:tl2br w:val="nil"/>
              <w:tr2bl w:val="nil"/>
            </w:tcBorders>
            <w:noWrap w:val="0"/>
            <w:vAlign w:val="center"/>
          </w:tcPr>
          <w:p w14:paraId="1D790732">
            <w:pPr>
              <w:jc w:val="center"/>
              <w:rPr>
                <w:rFonts w:hint="default" w:ascii="Times New Roman" w:hAnsi="Times New Roman" w:eastAsia="宋体" w:cs="Times New Roman"/>
                <w:i w:val="0"/>
                <w:iCs w:val="0"/>
                <w:color w:val="000000"/>
                <w:sz w:val="18"/>
                <w:szCs w:val="18"/>
                <w:u w:val="none"/>
              </w:rPr>
            </w:pPr>
          </w:p>
        </w:tc>
        <w:tc>
          <w:tcPr>
            <w:tcW w:w="870" w:type="dxa"/>
            <w:vMerge w:val="continue"/>
            <w:tcBorders>
              <w:tl2br w:val="nil"/>
              <w:tr2bl w:val="nil"/>
            </w:tcBorders>
            <w:noWrap w:val="0"/>
            <w:vAlign w:val="center"/>
          </w:tcPr>
          <w:p w14:paraId="243A84BC">
            <w:pPr>
              <w:jc w:val="center"/>
              <w:rPr>
                <w:rFonts w:hint="default" w:ascii="Times New Roman" w:hAnsi="Times New Roman" w:eastAsia="宋体" w:cs="Times New Roman"/>
                <w:i w:val="0"/>
                <w:iCs w:val="0"/>
                <w:color w:val="000000"/>
                <w:sz w:val="18"/>
                <w:szCs w:val="18"/>
                <w:u w:val="none"/>
              </w:rPr>
            </w:pPr>
          </w:p>
        </w:tc>
        <w:tc>
          <w:tcPr>
            <w:tcW w:w="1050" w:type="dxa"/>
            <w:tcBorders>
              <w:tl2br w:val="nil"/>
              <w:tr2bl w:val="nil"/>
            </w:tcBorders>
            <w:noWrap w:val="0"/>
            <w:vAlign w:val="center"/>
          </w:tcPr>
          <w:p w14:paraId="03046E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15"/>
                <w:lang w:val="en-US" w:eastAsia="zh-CN" w:bidi="ar"/>
              </w:rPr>
              <w:t>社会公众或服务对象满意度</w:t>
            </w:r>
          </w:p>
        </w:tc>
        <w:tc>
          <w:tcPr>
            <w:tcW w:w="495" w:type="dxa"/>
            <w:tcBorders>
              <w:tl2br w:val="nil"/>
              <w:tr2bl w:val="nil"/>
            </w:tcBorders>
            <w:noWrap w:val="0"/>
            <w:vAlign w:val="center"/>
          </w:tcPr>
          <w:p w14:paraId="208AB4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2570" w:type="dxa"/>
            <w:tcBorders>
              <w:tl2br w:val="nil"/>
              <w:tr2bl w:val="nil"/>
            </w:tcBorders>
            <w:noWrap w:val="0"/>
            <w:vAlign w:val="center"/>
          </w:tcPr>
          <w:p w14:paraId="221B9C5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Style w:val="15"/>
                <w:lang w:val="en-US" w:eastAsia="zh-CN" w:bidi="ar"/>
              </w:rPr>
              <w:t>社会公众或部门的服务对象对部门履职效果的满意程度。</w:t>
            </w:r>
          </w:p>
        </w:tc>
        <w:tc>
          <w:tcPr>
            <w:tcW w:w="5112" w:type="dxa"/>
            <w:tcBorders>
              <w:tl2br w:val="nil"/>
              <w:tr2bl w:val="nil"/>
            </w:tcBorders>
            <w:noWrap w:val="0"/>
            <w:vAlign w:val="center"/>
          </w:tcPr>
          <w:p w14:paraId="24AA1017">
            <w:pPr>
              <w:keepNext w:val="0"/>
              <w:keepLines w:val="0"/>
              <w:widowControl/>
              <w:suppressLineNumbers w:val="0"/>
              <w:jc w:val="left"/>
              <w:textAlignment w:val="center"/>
              <w:rPr>
                <w:rStyle w:val="15"/>
                <w:lang w:val="en-US" w:eastAsia="zh-CN" w:bidi="ar"/>
              </w:rPr>
            </w:pPr>
          </w:p>
          <w:p w14:paraId="2D81F2F9">
            <w:pPr>
              <w:keepNext w:val="0"/>
              <w:keepLines w:val="0"/>
              <w:widowControl/>
              <w:suppressLineNumbers w:val="0"/>
              <w:jc w:val="left"/>
              <w:textAlignment w:val="center"/>
              <w:rPr>
                <w:rStyle w:val="15"/>
                <w:lang w:val="en-US" w:eastAsia="zh-CN" w:bidi="ar"/>
              </w:rPr>
            </w:pPr>
            <w:r>
              <w:rPr>
                <w:rStyle w:val="15"/>
                <w:lang w:val="en-US" w:eastAsia="zh-CN" w:bidi="ar"/>
              </w:rPr>
              <w:t>社会公众或服务对象是指部门履行职责而影响到的部门、群体或个人。一般采取社会调查的方式</w:t>
            </w:r>
            <w:r>
              <w:rPr>
                <w:rStyle w:val="16"/>
                <w:rFonts w:eastAsia="宋体"/>
                <w:lang w:val="en-US" w:eastAsia="zh-CN" w:bidi="ar"/>
              </w:rPr>
              <w:t>(</w:t>
            </w:r>
            <w:r>
              <w:rPr>
                <w:rStyle w:val="15"/>
                <w:lang w:val="en-US" w:eastAsia="zh-CN" w:bidi="ar"/>
              </w:rPr>
              <w:t>不少于</w:t>
            </w:r>
            <w:r>
              <w:rPr>
                <w:rStyle w:val="16"/>
                <w:rFonts w:eastAsia="宋体"/>
                <w:lang w:val="en-US" w:eastAsia="zh-CN" w:bidi="ar"/>
              </w:rPr>
              <w:t>30</w:t>
            </w:r>
            <w:r>
              <w:rPr>
                <w:rStyle w:val="15"/>
                <w:lang w:val="en-US" w:eastAsia="zh-CN" w:bidi="ar"/>
              </w:rPr>
              <w:t>份</w:t>
            </w:r>
            <w:r>
              <w:rPr>
                <w:rStyle w:val="16"/>
                <w:rFonts w:eastAsia="宋体"/>
                <w:lang w:val="en-US" w:eastAsia="zh-CN" w:bidi="ar"/>
              </w:rPr>
              <w:t>)</w:t>
            </w:r>
            <w:r>
              <w:rPr>
                <w:rStyle w:val="15"/>
                <w:lang w:val="en-US" w:eastAsia="zh-CN" w:bidi="ar"/>
              </w:rPr>
              <w:t>。</w:t>
            </w:r>
          </w:p>
          <w:p w14:paraId="167CAF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Style w:val="15"/>
                <w:lang w:val="en-US" w:eastAsia="zh-CN" w:bidi="ar"/>
              </w:rPr>
              <w:t>该项得分</w:t>
            </w:r>
            <w:r>
              <w:rPr>
                <w:rStyle w:val="16"/>
                <w:rFonts w:eastAsia="宋体"/>
                <w:lang w:val="en-US" w:eastAsia="zh-CN" w:bidi="ar"/>
              </w:rPr>
              <w:t>=</w:t>
            </w:r>
            <w:r>
              <w:rPr>
                <w:rStyle w:val="15"/>
                <w:lang w:val="en-US" w:eastAsia="zh-CN" w:bidi="ar"/>
              </w:rPr>
              <w:t>满意率</w:t>
            </w:r>
            <w:r>
              <w:rPr>
                <w:rStyle w:val="16"/>
                <w:rFonts w:eastAsia="宋体"/>
                <w:lang w:val="en-US" w:eastAsia="zh-CN" w:bidi="ar"/>
              </w:rPr>
              <w:t>×8</w:t>
            </w:r>
            <w:r>
              <w:rPr>
                <w:rStyle w:val="15"/>
                <w:lang w:val="en-US" w:eastAsia="zh-CN" w:bidi="ar"/>
              </w:rPr>
              <w:t>分。</w:t>
            </w:r>
          </w:p>
        </w:tc>
        <w:tc>
          <w:tcPr>
            <w:tcW w:w="2115" w:type="dxa"/>
            <w:tcBorders>
              <w:tl2br w:val="nil"/>
              <w:tr2bl w:val="nil"/>
            </w:tcBorders>
            <w:noWrap w:val="0"/>
            <w:vAlign w:val="center"/>
          </w:tcPr>
          <w:p w14:paraId="179DE096">
            <w:pPr>
              <w:jc w:val="left"/>
              <w:rPr>
                <w:rFonts w:hint="eastAsia" w:ascii="宋体" w:hAnsi="宋体" w:eastAsia="宋体" w:cs="宋体"/>
                <w:i w:val="0"/>
                <w:iCs w:val="0"/>
                <w:color w:val="000000"/>
                <w:sz w:val="18"/>
                <w:szCs w:val="18"/>
                <w:u w:val="none"/>
              </w:rPr>
            </w:pPr>
          </w:p>
        </w:tc>
        <w:tc>
          <w:tcPr>
            <w:tcW w:w="586" w:type="dxa"/>
            <w:tcBorders>
              <w:tl2br w:val="nil"/>
              <w:tr2bl w:val="nil"/>
            </w:tcBorders>
            <w:noWrap w:val="0"/>
            <w:vAlign w:val="center"/>
          </w:tcPr>
          <w:p w14:paraId="3C3BE168">
            <w:pPr>
              <w:jc w:val="left"/>
              <w:rPr>
                <w:rFonts w:hint="default" w:ascii="Times New Roman" w:hAnsi="Times New Roman" w:eastAsia="宋体" w:cs="Times New Roman"/>
                <w:i w:val="0"/>
                <w:iCs w:val="0"/>
                <w:color w:val="000000"/>
                <w:sz w:val="18"/>
                <w:szCs w:val="18"/>
                <w:u w:val="none"/>
                <w:lang w:val="en-US" w:eastAsia="zh-CN"/>
              </w:rPr>
            </w:pPr>
            <w:r>
              <w:rPr>
                <w:rFonts w:hint="eastAsia" w:ascii="Times New Roman" w:hAnsi="Times New Roman" w:cs="Times New Roman"/>
                <w:i w:val="0"/>
                <w:iCs w:val="0"/>
                <w:color w:val="000000"/>
                <w:sz w:val="18"/>
                <w:szCs w:val="18"/>
                <w:u w:val="none"/>
                <w:lang w:val="en-US" w:eastAsia="zh-CN"/>
              </w:rPr>
              <w:t>8</w:t>
            </w:r>
          </w:p>
        </w:tc>
      </w:tr>
      <w:tr w14:paraId="10C265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0" w:type="auto"/>
            <w:gridSpan w:val="3"/>
            <w:tcBorders>
              <w:tl2br w:val="nil"/>
              <w:tr2bl w:val="nil"/>
            </w:tcBorders>
            <w:noWrap/>
            <w:vAlign w:val="center"/>
          </w:tcPr>
          <w:p w14:paraId="2250EA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Style w:val="17"/>
                <w:lang w:val="en-US" w:eastAsia="zh-CN" w:bidi="ar"/>
              </w:rPr>
              <w:t>合</w:t>
            </w:r>
            <w:r>
              <w:rPr>
                <w:rStyle w:val="18"/>
                <w:rFonts w:eastAsia="宋体"/>
                <w:lang w:val="en-US" w:eastAsia="zh-CN" w:bidi="ar"/>
              </w:rPr>
              <w:t xml:space="preserve">  </w:t>
            </w:r>
            <w:r>
              <w:rPr>
                <w:rStyle w:val="17"/>
                <w:lang w:val="en-US" w:eastAsia="zh-CN" w:bidi="ar"/>
              </w:rPr>
              <w:t>计</w:t>
            </w:r>
          </w:p>
        </w:tc>
        <w:tc>
          <w:tcPr>
            <w:tcW w:w="0" w:type="auto"/>
            <w:tcBorders>
              <w:tl2br w:val="nil"/>
              <w:tr2bl w:val="nil"/>
            </w:tcBorders>
            <w:noWrap/>
            <w:vAlign w:val="center"/>
          </w:tcPr>
          <w:p w14:paraId="6248273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0" w:type="auto"/>
            <w:tcBorders>
              <w:tl2br w:val="nil"/>
              <w:tr2bl w:val="nil"/>
            </w:tcBorders>
            <w:noWrap/>
            <w:vAlign w:val="center"/>
          </w:tcPr>
          <w:p w14:paraId="1844A7A7">
            <w:pPr>
              <w:rPr>
                <w:rFonts w:hint="default" w:ascii="Times New Roman" w:hAnsi="Times New Roman" w:eastAsia="宋体" w:cs="Times New Roman"/>
                <w:i w:val="0"/>
                <w:iCs w:val="0"/>
                <w:color w:val="000000"/>
                <w:sz w:val="18"/>
                <w:szCs w:val="18"/>
                <w:u w:val="none"/>
              </w:rPr>
            </w:pPr>
          </w:p>
        </w:tc>
        <w:tc>
          <w:tcPr>
            <w:tcW w:w="0" w:type="auto"/>
            <w:tcBorders>
              <w:tl2br w:val="nil"/>
              <w:tr2bl w:val="nil"/>
            </w:tcBorders>
            <w:noWrap/>
            <w:vAlign w:val="center"/>
          </w:tcPr>
          <w:p w14:paraId="55F89909">
            <w:pPr>
              <w:jc w:val="both"/>
              <w:rPr>
                <w:rFonts w:hint="default" w:ascii="Times New Roman" w:hAnsi="Times New Roman" w:eastAsia="宋体" w:cs="Times New Roman"/>
                <w:i w:val="0"/>
                <w:iCs w:val="0"/>
                <w:color w:val="000000"/>
                <w:sz w:val="18"/>
                <w:szCs w:val="18"/>
                <w:u w:val="none"/>
              </w:rPr>
            </w:pPr>
          </w:p>
        </w:tc>
        <w:tc>
          <w:tcPr>
            <w:tcW w:w="0" w:type="auto"/>
            <w:tcBorders>
              <w:tl2br w:val="nil"/>
              <w:tr2bl w:val="nil"/>
            </w:tcBorders>
            <w:noWrap/>
            <w:vAlign w:val="center"/>
          </w:tcPr>
          <w:p w14:paraId="125F3057">
            <w:pPr>
              <w:jc w:val="both"/>
              <w:rPr>
                <w:rFonts w:hint="default" w:ascii="Times New Roman" w:hAnsi="Times New Roman" w:eastAsia="宋体" w:cs="Times New Roman"/>
                <w:i w:val="0"/>
                <w:iCs w:val="0"/>
                <w:color w:val="000000"/>
                <w:sz w:val="18"/>
                <w:szCs w:val="18"/>
                <w:u w:val="none"/>
              </w:rPr>
            </w:pPr>
          </w:p>
        </w:tc>
        <w:tc>
          <w:tcPr>
            <w:tcW w:w="0" w:type="auto"/>
            <w:tcBorders>
              <w:tl2br w:val="nil"/>
              <w:tr2bl w:val="nil"/>
            </w:tcBorders>
            <w:noWrap/>
            <w:vAlign w:val="center"/>
          </w:tcPr>
          <w:p w14:paraId="67A046D9">
            <w:pPr>
              <w:jc w:val="both"/>
              <w:rPr>
                <w:rFonts w:hint="default" w:ascii="Times New Roman" w:hAnsi="Times New Roman" w:eastAsia="宋体" w:cs="Times New Roman"/>
                <w:i w:val="0"/>
                <w:iCs w:val="0"/>
                <w:color w:val="000000"/>
                <w:sz w:val="18"/>
                <w:szCs w:val="18"/>
                <w:u w:val="none"/>
                <w:lang w:val="en-US" w:eastAsia="zh-CN"/>
              </w:rPr>
            </w:pPr>
            <w:r>
              <w:rPr>
                <w:rFonts w:hint="eastAsia" w:ascii="Times New Roman" w:hAnsi="Times New Roman" w:cs="Times New Roman"/>
                <w:i w:val="0"/>
                <w:iCs w:val="0"/>
                <w:color w:val="000000"/>
                <w:sz w:val="18"/>
                <w:szCs w:val="18"/>
                <w:u w:val="none"/>
                <w:lang w:val="en-US" w:eastAsia="zh-CN"/>
              </w:rPr>
              <w:t>96</w:t>
            </w:r>
          </w:p>
        </w:tc>
      </w:tr>
    </w:tbl>
    <w:p w14:paraId="79558020">
      <w:pPr>
        <w:adjustRightInd w:val="0"/>
        <w:spacing w:line="600" w:lineRule="exact"/>
        <w:ind w:right="641"/>
        <w:rPr>
          <w:rFonts w:hint="eastAsia" w:ascii="黑体" w:eastAsia="黑体"/>
          <w:sz w:val="32"/>
          <w:szCs w:val="32"/>
        </w:rPr>
        <w:sectPr>
          <w:pgSz w:w="16837" w:h="11905" w:orient="landscape"/>
          <w:pgMar w:top="1417" w:right="1417" w:bottom="1417" w:left="1417" w:header="0" w:footer="0" w:gutter="0"/>
          <w:pgNumType w:start="1"/>
          <w:cols w:space="0" w:num="1"/>
          <w:rtlGutter w:val="0"/>
          <w:docGrid w:linePitch="636" w:charSpace="0"/>
        </w:sectPr>
      </w:pPr>
    </w:p>
    <w:p w14:paraId="494D4CE5">
      <w:pPr>
        <w:pStyle w:val="6"/>
        <w:ind w:left="0" w:leftChars="0" w:firstLine="0" w:firstLineChars="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附件4</w:t>
      </w:r>
    </w:p>
    <w:p w14:paraId="4781296D">
      <w:pPr>
        <w:pStyle w:val="6"/>
        <w:ind w:left="0" w:leftChars="0" w:firstLine="0" w:firstLineChars="0"/>
        <w:jc w:val="cente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2023年度部门整体支出绩效评价基础数据表</w:t>
      </w:r>
    </w:p>
    <w:tbl>
      <w:tblPr>
        <w:tblStyle w:val="7"/>
        <w:tblW w:w="92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05"/>
        <w:gridCol w:w="1335"/>
        <w:gridCol w:w="1080"/>
        <w:gridCol w:w="2160"/>
        <w:gridCol w:w="1890"/>
      </w:tblGrid>
      <w:tr w14:paraId="35D5A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805" w:type="dxa"/>
            <w:vMerge w:val="restart"/>
            <w:tcBorders>
              <w:top w:val="single" w:color="000000" w:sz="4" w:space="0"/>
              <w:left w:val="single" w:color="000000" w:sz="4" w:space="0"/>
              <w:bottom w:val="single" w:color="000000" w:sz="4" w:space="0"/>
              <w:right w:val="single" w:color="000000" w:sz="4" w:space="0"/>
            </w:tcBorders>
            <w:noWrap w:val="0"/>
            <w:vAlign w:val="center"/>
          </w:tcPr>
          <w:p w14:paraId="45438280">
            <w:pPr>
              <w:keepNext w:val="0"/>
              <w:keepLines w:val="0"/>
              <w:widowControl/>
              <w:suppressLineNumbers w:val="0"/>
              <w:jc w:val="left"/>
              <w:textAlignment w:val="center"/>
              <w:rPr>
                <w:rFonts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财政供养人员情况</w:t>
            </w:r>
          </w:p>
        </w:tc>
        <w:tc>
          <w:tcPr>
            <w:tcW w:w="2415" w:type="dxa"/>
            <w:gridSpan w:val="2"/>
            <w:tcBorders>
              <w:top w:val="single" w:color="000000" w:sz="4" w:space="0"/>
              <w:left w:val="single" w:color="000000" w:sz="4" w:space="0"/>
              <w:bottom w:val="single" w:color="000000" w:sz="4" w:space="0"/>
              <w:right w:val="single" w:color="000000" w:sz="4" w:space="0"/>
            </w:tcBorders>
            <w:noWrap w:val="0"/>
            <w:vAlign w:val="center"/>
          </w:tcPr>
          <w:p w14:paraId="02E339DA">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编制数</w:t>
            </w:r>
          </w:p>
        </w:tc>
        <w:tc>
          <w:tcPr>
            <w:tcW w:w="2160" w:type="dxa"/>
            <w:tcBorders>
              <w:top w:val="single" w:color="000000" w:sz="4" w:space="0"/>
              <w:left w:val="single" w:color="000000" w:sz="4" w:space="0"/>
              <w:bottom w:val="single" w:color="000000" w:sz="4" w:space="0"/>
              <w:right w:val="single" w:color="000000" w:sz="4" w:space="0"/>
            </w:tcBorders>
            <w:noWrap w:val="0"/>
            <w:vAlign w:val="center"/>
          </w:tcPr>
          <w:p w14:paraId="7ABF5FDB">
            <w:pPr>
              <w:keepNext w:val="0"/>
              <w:keepLines w:val="0"/>
              <w:widowControl/>
              <w:suppressLineNumbers w:val="0"/>
              <w:jc w:val="left"/>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2023 年实际在职人数</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3E007EDD">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控制率</w:t>
            </w:r>
          </w:p>
        </w:tc>
      </w:tr>
      <w:tr w14:paraId="7FF25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28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7EFC8D">
            <w:pPr>
              <w:rPr>
                <w:rFonts w:hint="eastAsia" w:ascii="仿宋" w:hAnsi="仿宋" w:eastAsia="仿宋" w:cs="仿宋"/>
                <w:i w:val="0"/>
                <w:iCs w:val="0"/>
                <w:color w:val="000000"/>
                <w:sz w:val="20"/>
                <w:szCs w:val="20"/>
                <w:u w:val="none"/>
              </w:rPr>
            </w:pPr>
          </w:p>
        </w:tc>
        <w:tc>
          <w:tcPr>
            <w:tcW w:w="2415" w:type="dxa"/>
            <w:gridSpan w:val="2"/>
            <w:tcBorders>
              <w:top w:val="single" w:color="000000" w:sz="4" w:space="0"/>
              <w:left w:val="single" w:color="000000" w:sz="4" w:space="0"/>
              <w:bottom w:val="single" w:color="000000" w:sz="4" w:space="0"/>
              <w:right w:val="single" w:color="000000" w:sz="4" w:space="0"/>
            </w:tcBorders>
            <w:noWrap w:val="0"/>
            <w:vAlign w:val="center"/>
          </w:tcPr>
          <w:p w14:paraId="7A9C6D99">
            <w:pPr>
              <w:jc w:val="center"/>
              <w:rPr>
                <w:rFonts w:hint="default" w:ascii="仿宋" w:hAnsi="仿宋" w:eastAsia="仿宋" w:cs="仿宋"/>
                <w:b/>
                <w:bCs/>
                <w:i w:val="0"/>
                <w:iCs w:val="0"/>
                <w:color w:val="000000"/>
                <w:sz w:val="21"/>
                <w:szCs w:val="21"/>
                <w:u w:val="none"/>
                <w:lang w:val="en-US" w:eastAsia="zh-CN"/>
              </w:rPr>
            </w:pPr>
            <w:r>
              <w:rPr>
                <w:rFonts w:hint="eastAsia" w:ascii="仿宋" w:hAnsi="仿宋" w:eastAsia="仿宋" w:cs="仿宋"/>
                <w:b/>
                <w:bCs/>
                <w:i w:val="0"/>
                <w:iCs w:val="0"/>
                <w:color w:val="000000"/>
                <w:sz w:val="21"/>
                <w:szCs w:val="21"/>
                <w:u w:val="none"/>
                <w:lang w:val="en-US" w:eastAsia="zh-CN"/>
              </w:rPr>
              <w:t>48</w:t>
            </w:r>
          </w:p>
        </w:tc>
        <w:tc>
          <w:tcPr>
            <w:tcW w:w="2160" w:type="dxa"/>
            <w:tcBorders>
              <w:top w:val="single" w:color="000000" w:sz="4" w:space="0"/>
              <w:left w:val="single" w:color="000000" w:sz="4" w:space="0"/>
              <w:bottom w:val="single" w:color="000000" w:sz="4" w:space="0"/>
              <w:right w:val="single" w:color="000000" w:sz="4" w:space="0"/>
            </w:tcBorders>
            <w:noWrap w:val="0"/>
            <w:vAlign w:val="center"/>
          </w:tcPr>
          <w:p w14:paraId="66710ABE">
            <w:pPr>
              <w:rPr>
                <w:rFonts w:hint="default" w:ascii="仿宋" w:hAnsi="仿宋" w:eastAsia="仿宋" w:cs="仿宋"/>
                <w:b/>
                <w:bCs/>
                <w:i w:val="0"/>
                <w:iCs w:val="0"/>
                <w:color w:val="000000"/>
                <w:sz w:val="21"/>
                <w:szCs w:val="21"/>
                <w:u w:val="none"/>
                <w:lang w:val="en-US" w:eastAsia="zh-CN"/>
              </w:rPr>
            </w:pPr>
            <w:r>
              <w:rPr>
                <w:rFonts w:hint="eastAsia" w:ascii="仿宋" w:hAnsi="仿宋" w:eastAsia="仿宋" w:cs="仿宋"/>
                <w:b/>
                <w:bCs/>
                <w:i w:val="0"/>
                <w:iCs w:val="0"/>
                <w:color w:val="000000"/>
                <w:sz w:val="21"/>
                <w:szCs w:val="21"/>
                <w:u w:val="none"/>
                <w:lang w:val="en-US" w:eastAsia="zh-CN"/>
              </w:rPr>
              <w:t>53</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2D1F9DDE">
            <w:pPr>
              <w:rPr>
                <w:rFonts w:hint="default" w:ascii="仿宋" w:hAnsi="仿宋" w:eastAsia="仿宋" w:cs="仿宋"/>
                <w:b/>
                <w:bCs/>
                <w:i w:val="0"/>
                <w:iCs w:val="0"/>
                <w:color w:val="000000"/>
                <w:sz w:val="21"/>
                <w:szCs w:val="21"/>
                <w:u w:val="none"/>
                <w:lang w:val="en-US" w:eastAsia="zh-CN"/>
              </w:rPr>
            </w:pPr>
            <w:r>
              <w:rPr>
                <w:rFonts w:hint="eastAsia" w:ascii="仿宋" w:hAnsi="仿宋" w:eastAsia="仿宋" w:cs="仿宋"/>
                <w:b/>
                <w:bCs/>
                <w:i w:val="0"/>
                <w:iCs w:val="0"/>
                <w:color w:val="000000"/>
                <w:sz w:val="21"/>
                <w:szCs w:val="21"/>
                <w:u w:val="none"/>
                <w:lang w:val="en-US" w:eastAsia="zh-CN"/>
              </w:rPr>
              <w:t>100%</w:t>
            </w:r>
          </w:p>
        </w:tc>
      </w:tr>
      <w:tr w14:paraId="025EC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2805" w:type="dxa"/>
            <w:tcBorders>
              <w:top w:val="single" w:color="000000" w:sz="4" w:space="0"/>
              <w:left w:val="single" w:color="000000" w:sz="4" w:space="0"/>
              <w:bottom w:val="single" w:color="000000" w:sz="4" w:space="0"/>
              <w:right w:val="single" w:color="000000" w:sz="4" w:space="0"/>
            </w:tcBorders>
            <w:noWrap w:val="0"/>
            <w:vAlign w:val="center"/>
          </w:tcPr>
          <w:p w14:paraId="5100A459">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经费控制情况</w:t>
            </w:r>
          </w:p>
        </w:tc>
        <w:tc>
          <w:tcPr>
            <w:tcW w:w="2415" w:type="dxa"/>
            <w:gridSpan w:val="2"/>
            <w:tcBorders>
              <w:top w:val="single" w:color="000000" w:sz="4" w:space="0"/>
              <w:left w:val="single" w:color="000000" w:sz="4" w:space="0"/>
              <w:bottom w:val="single" w:color="000000" w:sz="4" w:space="0"/>
              <w:right w:val="single" w:color="000000" w:sz="4" w:space="0"/>
            </w:tcBorders>
            <w:noWrap w:val="0"/>
            <w:vAlign w:val="center"/>
          </w:tcPr>
          <w:p w14:paraId="4E9AB4FE">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2022年决算数</w:t>
            </w:r>
          </w:p>
        </w:tc>
        <w:tc>
          <w:tcPr>
            <w:tcW w:w="2160" w:type="dxa"/>
            <w:tcBorders>
              <w:top w:val="single" w:color="000000" w:sz="4" w:space="0"/>
              <w:left w:val="single" w:color="000000" w:sz="4" w:space="0"/>
              <w:bottom w:val="single" w:color="000000" w:sz="4" w:space="0"/>
              <w:right w:val="single" w:color="000000" w:sz="4" w:space="0"/>
            </w:tcBorders>
            <w:noWrap w:val="0"/>
            <w:vAlign w:val="center"/>
          </w:tcPr>
          <w:p w14:paraId="26D16E83">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2023 年预算数</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053069ED">
            <w:pPr>
              <w:keepNext w:val="0"/>
              <w:keepLines w:val="0"/>
              <w:widowControl/>
              <w:suppressLineNumbers w:val="0"/>
              <w:jc w:val="left"/>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2023年决算数</w:t>
            </w:r>
          </w:p>
        </w:tc>
      </w:tr>
      <w:tr w14:paraId="6CE05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2805" w:type="dxa"/>
            <w:tcBorders>
              <w:top w:val="single" w:color="000000" w:sz="4" w:space="0"/>
              <w:left w:val="single" w:color="000000" w:sz="4" w:space="0"/>
              <w:bottom w:val="single" w:color="000000" w:sz="4" w:space="0"/>
              <w:right w:val="single" w:color="000000" w:sz="4" w:space="0"/>
            </w:tcBorders>
            <w:noWrap w:val="0"/>
            <w:vAlign w:val="center"/>
          </w:tcPr>
          <w:p w14:paraId="5EB511DD">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三公经费</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57F15926">
            <w:pPr>
              <w:rPr>
                <w:rFonts w:hint="eastAsia" w:ascii="仿宋" w:hAnsi="仿宋" w:eastAsia="仿宋" w:cs="仿宋"/>
                <w:i w:val="0"/>
                <w:iCs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5A8CA85">
            <w:pPr>
              <w:rPr>
                <w:rFonts w:hint="default"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3.06</w:t>
            </w:r>
          </w:p>
        </w:tc>
        <w:tc>
          <w:tcPr>
            <w:tcW w:w="2160" w:type="dxa"/>
            <w:tcBorders>
              <w:top w:val="single" w:color="000000" w:sz="4" w:space="0"/>
              <w:left w:val="single" w:color="000000" w:sz="4" w:space="0"/>
              <w:bottom w:val="single" w:color="000000" w:sz="4" w:space="0"/>
              <w:right w:val="single" w:color="000000" w:sz="4" w:space="0"/>
            </w:tcBorders>
            <w:noWrap w:val="0"/>
            <w:vAlign w:val="center"/>
          </w:tcPr>
          <w:p w14:paraId="5121A2F9">
            <w:pPr>
              <w:rPr>
                <w:rFonts w:hint="default"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3.1</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1579F9FA">
            <w:pPr>
              <w:rPr>
                <w:rFonts w:hint="default"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3.04</w:t>
            </w:r>
          </w:p>
        </w:tc>
      </w:tr>
      <w:tr w14:paraId="240BE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805" w:type="dxa"/>
            <w:tcBorders>
              <w:top w:val="single" w:color="000000" w:sz="4" w:space="0"/>
              <w:left w:val="single" w:color="000000" w:sz="4" w:space="0"/>
              <w:bottom w:val="single" w:color="000000" w:sz="4" w:space="0"/>
              <w:right w:val="single" w:color="000000" w:sz="4" w:space="0"/>
            </w:tcBorders>
            <w:noWrap w:val="0"/>
            <w:vAlign w:val="center"/>
          </w:tcPr>
          <w:p w14:paraId="744D8F1F">
            <w:pPr>
              <w:keepNext w:val="0"/>
              <w:keepLines w:val="0"/>
              <w:widowControl/>
              <w:suppressLineNumbers w:val="0"/>
              <w:ind w:firstLine="400" w:firstLineChars="20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1、公务用车购置和维护经费</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72CC1B69">
            <w:pPr>
              <w:rPr>
                <w:rFonts w:hint="eastAsia" w:ascii="仿宋" w:hAnsi="仿宋" w:eastAsia="仿宋" w:cs="仿宋"/>
                <w:i w:val="0"/>
                <w:iCs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ED75FC4">
            <w:pPr>
              <w:rPr>
                <w:rFonts w:hint="eastAsia"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0</w:t>
            </w:r>
          </w:p>
        </w:tc>
        <w:tc>
          <w:tcPr>
            <w:tcW w:w="2160" w:type="dxa"/>
            <w:tcBorders>
              <w:top w:val="single" w:color="000000" w:sz="4" w:space="0"/>
              <w:left w:val="single" w:color="000000" w:sz="4" w:space="0"/>
              <w:bottom w:val="single" w:color="000000" w:sz="4" w:space="0"/>
              <w:right w:val="single" w:color="000000" w:sz="4" w:space="0"/>
            </w:tcBorders>
            <w:noWrap w:val="0"/>
            <w:vAlign w:val="center"/>
          </w:tcPr>
          <w:p w14:paraId="02864AFB">
            <w:pPr>
              <w:rPr>
                <w:rFonts w:hint="eastAsia"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0</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5AAA7F47">
            <w:pPr>
              <w:rPr>
                <w:rFonts w:hint="eastAsia"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0</w:t>
            </w:r>
          </w:p>
        </w:tc>
      </w:tr>
      <w:tr w14:paraId="7B244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2805" w:type="dxa"/>
            <w:tcBorders>
              <w:top w:val="single" w:color="000000" w:sz="4" w:space="0"/>
              <w:left w:val="single" w:color="000000" w:sz="4" w:space="0"/>
              <w:bottom w:val="single" w:color="000000" w:sz="4" w:space="0"/>
              <w:right w:val="single" w:color="000000" w:sz="4" w:space="0"/>
            </w:tcBorders>
            <w:noWrap w:val="0"/>
            <w:vAlign w:val="center"/>
          </w:tcPr>
          <w:p w14:paraId="2B354F32">
            <w:pPr>
              <w:keepNext w:val="0"/>
              <w:keepLines w:val="0"/>
              <w:widowControl/>
              <w:suppressLineNumbers w:val="0"/>
              <w:ind w:firstLine="400" w:firstLineChars="20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其中：  公车购置</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1128B937">
            <w:pPr>
              <w:rPr>
                <w:rFonts w:hint="eastAsia" w:ascii="仿宋" w:hAnsi="仿宋" w:eastAsia="仿宋" w:cs="仿宋"/>
                <w:i w:val="0"/>
                <w:iCs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3755B05">
            <w:pPr>
              <w:rPr>
                <w:rFonts w:hint="eastAsia" w:ascii="仿宋" w:hAnsi="仿宋" w:eastAsia="仿宋" w:cs="仿宋"/>
                <w:i w:val="0"/>
                <w:iCs w:val="0"/>
                <w:color w:val="000000"/>
                <w:sz w:val="21"/>
                <w:szCs w:val="21"/>
                <w:u w:val="none"/>
              </w:rPr>
            </w:pPr>
          </w:p>
        </w:tc>
        <w:tc>
          <w:tcPr>
            <w:tcW w:w="2160" w:type="dxa"/>
            <w:tcBorders>
              <w:top w:val="single" w:color="000000" w:sz="4" w:space="0"/>
              <w:left w:val="single" w:color="000000" w:sz="4" w:space="0"/>
              <w:bottom w:val="single" w:color="000000" w:sz="4" w:space="0"/>
              <w:right w:val="single" w:color="000000" w:sz="4" w:space="0"/>
            </w:tcBorders>
            <w:noWrap w:val="0"/>
            <w:vAlign w:val="center"/>
          </w:tcPr>
          <w:p w14:paraId="3A959517">
            <w:pPr>
              <w:rPr>
                <w:rFonts w:hint="eastAsia" w:ascii="仿宋" w:hAnsi="仿宋" w:eastAsia="仿宋" w:cs="仿宋"/>
                <w:i w:val="0"/>
                <w:iCs w:val="0"/>
                <w:color w:val="000000"/>
                <w:sz w:val="21"/>
                <w:szCs w:val="21"/>
                <w:u w:val="none"/>
              </w:rPr>
            </w:pP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445216B6">
            <w:pPr>
              <w:rPr>
                <w:rFonts w:hint="eastAsia" w:ascii="仿宋" w:hAnsi="仿宋" w:eastAsia="仿宋" w:cs="仿宋"/>
                <w:i w:val="0"/>
                <w:iCs w:val="0"/>
                <w:color w:val="000000"/>
                <w:sz w:val="21"/>
                <w:szCs w:val="21"/>
                <w:u w:val="none"/>
              </w:rPr>
            </w:pPr>
          </w:p>
        </w:tc>
      </w:tr>
      <w:tr w14:paraId="63CDB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805" w:type="dxa"/>
            <w:tcBorders>
              <w:top w:val="single" w:color="000000" w:sz="4" w:space="0"/>
              <w:left w:val="single" w:color="000000" w:sz="4" w:space="0"/>
              <w:bottom w:val="single" w:color="000000" w:sz="4" w:space="0"/>
              <w:right w:val="single" w:color="000000" w:sz="4" w:space="0"/>
            </w:tcBorders>
            <w:noWrap w:val="0"/>
            <w:vAlign w:val="center"/>
          </w:tcPr>
          <w:p w14:paraId="06DE97FA">
            <w:pPr>
              <w:keepNext w:val="0"/>
              <w:keepLines w:val="0"/>
              <w:widowControl/>
              <w:suppressLineNumbers w:val="0"/>
              <w:ind w:firstLine="400" w:firstLineChars="20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公车运行维护</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7D32ABC8">
            <w:pPr>
              <w:rPr>
                <w:rFonts w:hint="eastAsia" w:ascii="仿宋" w:hAnsi="仿宋" w:eastAsia="仿宋" w:cs="仿宋"/>
                <w:i w:val="0"/>
                <w:iCs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45C2315">
            <w:pPr>
              <w:rPr>
                <w:rFonts w:hint="eastAsia" w:ascii="仿宋" w:hAnsi="仿宋" w:eastAsia="仿宋" w:cs="仿宋"/>
                <w:i w:val="0"/>
                <w:iCs w:val="0"/>
                <w:color w:val="000000"/>
                <w:sz w:val="21"/>
                <w:szCs w:val="21"/>
                <w:u w:val="none"/>
                <w:lang w:val="en-US" w:eastAsia="zh-CN"/>
              </w:rPr>
            </w:pPr>
          </w:p>
        </w:tc>
        <w:tc>
          <w:tcPr>
            <w:tcW w:w="2160" w:type="dxa"/>
            <w:tcBorders>
              <w:top w:val="single" w:color="000000" w:sz="4" w:space="0"/>
              <w:left w:val="single" w:color="000000" w:sz="4" w:space="0"/>
              <w:bottom w:val="single" w:color="000000" w:sz="4" w:space="0"/>
              <w:right w:val="single" w:color="000000" w:sz="4" w:space="0"/>
            </w:tcBorders>
            <w:noWrap w:val="0"/>
            <w:vAlign w:val="center"/>
          </w:tcPr>
          <w:p w14:paraId="18903866">
            <w:pPr>
              <w:rPr>
                <w:rFonts w:hint="eastAsia" w:ascii="仿宋" w:hAnsi="仿宋" w:eastAsia="仿宋" w:cs="仿宋"/>
                <w:i w:val="0"/>
                <w:iCs w:val="0"/>
                <w:color w:val="000000"/>
                <w:sz w:val="21"/>
                <w:szCs w:val="21"/>
                <w:u w:val="none"/>
              </w:rPr>
            </w:pP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67909BF0">
            <w:pPr>
              <w:rPr>
                <w:rFonts w:hint="eastAsia" w:ascii="仿宋" w:hAnsi="仿宋" w:eastAsia="仿宋" w:cs="仿宋"/>
                <w:i w:val="0"/>
                <w:iCs w:val="0"/>
                <w:color w:val="000000"/>
                <w:sz w:val="21"/>
                <w:szCs w:val="21"/>
                <w:u w:val="none"/>
              </w:rPr>
            </w:pPr>
          </w:p>
        </w:tc>
      </w:tr>
      <w:tr w14:paraId="14807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805" w:type="dxa"/>
            <w:tcBorders>
              <w:top w:val="single" w:color="000000" w:sz="4" w:space="0"/>
              <w:left w:val="single" w:color="000000" w:sz="4" w:space="0"/>
              <w:bottom w:val="single" w:color="000000" w:sz="4" w:space="0"/>
              <w:right w:val="single" w:color="000000" w:sz="4" w:space="0"/>
            </w:tcBorders>
            <w:noWrap w:val="0"/>
            <w:vAlign w:val="center"/>
          </w:tcPr>
          <w:p w14:paraId="1344038A">
            <w:pPr>
              <w:keepNext w:val="0"/>
              <w:keepLines w:val="0"/>
              <w:widowControl/>
              <w:suppressLineNumbers w:val="0"/>
              <w:ind w:firstLine="400" w:firstLineChars="20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 、 出国经费</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14B5E8F8">
            <w:pPr>
              <w:rPr>
                <w:rFonts w:hint="eastAsia" w:ascii="仿宋" w:hAnsi="仿宋" w:eastAsia="仿宋" w:cs="仿宋"/>
                <w:i w:val="0"/>
                <w:iCs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CA5EAF9">
            <w:pPr>
              <w:rPr>
                <w:rFonts w:hint="eastAsia"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0</w:t>
            </w:r>
          </w:p>
        </w:tc>
        <w:tc>
          <w:tcPr>
            <w:tcW w:w="2160" w:type="dxa"/>
            <w:tcBorders>
              <w:top w:val="single" w:color="000000" w:sz="4" w:space="0"/>
              <w:left w:val="single" w:color="000000" w:sz="4" w:space="0"/>
              <w:bottom w:val="single" w:color="000000" w:sz="4" w:space="0"/>
              <w:right w:val="single" w:color="000000" w:sz="4" w:space="0"/>
            </w:tcBorders>
            <w:noWrap w:val="0"/>
            <w:vAlign w:val="center"/>
          </w:tcPr>
          <w:p w14:paraId="07E89CB2">
            <w:pPr>
              <w:rPr>
                <w:rFonts w:hint="eastAsia"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0</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19CDAAAE">
            <w:pPr>
              <w:rPr>
                <w:rFonts w:hint="eastAsia"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0</w:t>
            </w:r>
          </w:p>
        </w:tc>
      </w:tr>
      <w:tr w14:paraId="37738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805" w:type="dxa"/>
            <w:tcBorders>
              <w:top w:val="single" w:color="000000" w:sz="4" w:space="0"/>
              <w:left w:val="single" w:color="000000" w:sz="4" w:space="0"/>
              <w:bottom w:val="single" w:color="000000" w:sz="4" w:space="0"/>
              <w:right w:val="single" w:color="000000" w:sz="4" w:space="0"/>
            </w:tcBorders>
            <w:noWrap w:val="0"/>
            <w:vAlign w:val="center"/>
          </w:tcPr>
          <w:p w14:paraId="37351D46">
            <w:pPr>
              <w:keepNext w:val="0"/>
              <w:keepLines w:val="0"/>
              <w:widowControl/>
              <w:suppressLineNumbers w:val="0"/>
              <w:ind w:firstLine="400" w:firstLineChars="20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 、 公务接待</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1E3D8262">
            <w:pPr>
              <w:rPr>
                <w:rFonts w:hint="eastAsia" w:ascii="仿宋" w:hAnsi="仿宋" w:eastAsia="仿宋" w:cs="仿宋"/>
                <w:i w:val="0"/>
                <w:iCs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8B9A3BA">
            <w:pPr>
              <w:rPr>
                <w:rFonts w:hint="default"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3.06</w:t>
            </w:r>
          </w:p>
        </w:tc>
        <w:tc>
          <w:tcPr>
            <w:tcW w:w="2160" w:type="dxa"/>
            <w:tcBorders>
              <w:top w:val="single" w:color="000000" w:sz="4" w:space="0"/>
              <w:left w:val="single" w:color="000000" w:sz="4" w:space="0"/>
              <w:bottom w:val="single" w:color="000000" w:sz="4" w:space="0"/>
              <w:right w:val="single" w:color="000000" w:sz="4" w:space="0"/>
            </w:tcBorders>
            <w:noWrap w:val="0"/>
            <w:vAlign w:val="center"/>
          </w:tcPr>
          <w:p w14:paraId="4A343712">
            <w:pPr>
              <w:rPr>
                <w:rFonts w:hint="default"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3.1</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2795D12E">
            <w:pPr>
              <w:rPr>
                <w:rFonts w:hint="default"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3.04</w:t>
            </w:r>
          </w:p>
        </w:tc>
      </w:tr>
      <w:tr w14:paraId="0C298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805" w:type="dxa"/>
            <w:tcBorders>
              <w:top w:val="single" w:color="000000" w:sz="4" w:space="0"/>
              <w:left w:val="single" w:color="000000" w:sz="4" w:space="0"/>
              <w:bottom w:val="single" w:color="000000" w:sz="4" w:space="0"/>
              <w:right w:val="single" w:color="000000" w:sz="4" w:space="0"/>
            </w:tcBorders>
            <w:noWrap w:val="0"/>
            <w:vAlign w:val="center"/>
          </w:tcPr>
          <w:p w14:paraId="7AC9EF4A">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项目支出：</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1FAF52B3">
            <w:pPr>
              <w:rPr>
                <w:rFonts w:hint="eastAsia" w:ascii="仿宋" w:hAnsi="仿宋" w:eastAsia="仿宋" w:cs="仿宋"/>
                <w:i w:val="0"/>
                <w:iCs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FF8E40A">
            <w:pPr>
              <w:rPr>
                <w:rFonts w:hint="eastAsia" w:ascii="仿宋" w:hAnsi="仿宋" w:eastAsia="仿宋" w:cs="仿宋"/>
                <w:i w:val="0"/>
                <w:iCs w:val="0"/>
                <w:color w:val="000000"/>
                <w:sz w:val="21"/>
                <w:szCs w:val="21"/>
                <w:u w:val="none"/>
              </w:rPr>
            </w:pPr>
          </w:p>
        </w:tc>
        <w:tc>
          <w:tcPr>
            <w:tcW w:w="2160" w:type="dxa"/>
            <w:tcBorders>
              <w:top w:val="single" w:color="000000" w:sz="4" w:space="0"/>
              <w:left w:val="single" w:color="000000" w:sz="4" w:space="0"/>
              <w:bottom w:val="single" w:color="000000" w:sz="4" w:space="0"/>
              <w:right w:val="single" w:color="000000" w:sz="4" w:space="0"/>
            </w:tcBorders>
            <w:noWrap w:val="0"/>
            <w:vAlign w:val="center"/>
          </w:tcPr>
          <w:p w14:paraId="45937D93">
            <w:pPr>
              <w:rPr>
                <w:rFonts w:hint="eastAsia" w:ascii="仿宋" w:hAnsi="仿宋" w:eastAsia="仿宋" w:cs="仿宋"/>
                <w:i w:val="0"/>
                <w:iCs w:val="0"/>
                <w:color w:val="000000"/>
                <w:sz w:val="21"/>
                <w:szCs w:val="21"/>
                <w:u w:val="none"/>
              </w:rPr>
            </w:pP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29484201">
            <w:pPr>
              <w:rPr>
                <w:rFonts w:hint="eastAsia" w:ascii="仿宋" w:hAnsi="仿宋" w:eastAsia="仿宋" w:cs="仿宋"/>
                <w:i w:val="0"/>
                <w:iCs w:val="0"/>
                <w:color w:val="000000"/>
                <w:sz w:val="21"/>
                <w:szCs w:val="21"/>
                <w:u w:val="none"/>
              </w:rPr>
            </w:pPr>
          </w:p>
        </w:tc>
      </w:tr>
      <w:tr w14:paraId="5F073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805" w:type="dxa"/>
            <w:tcBorders>
              <w:top w:val="single" w:color="000000" w:sz="4" w:space="0"/>
              <w:left w:val="single" w:color="000000" w:sz="4" w:space="0"/>
              <w:bottom w:val="single" w:color="000000" w:sz="4" w:space="0"/>
              <w:right w:val="single" w:color="000000" w:sz="4" w:space="0"/>
            </w:tcBorders>
            <w:noWrap w:val="0"/>
            <w:vAlign w:val="center"/>
          </w:tcPr>
          <w:p w14:paraId="2BA15792">
            <w:pPr>
              <w:keepNext w:val="0"/>
              <w:keepLines w:val="0"/>
              <w:widowControl/>
              <w:suppressLineNumbers w:val="0"/>
              <w:ind w:firstLine="400" w:firstLineChars="20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1、业务工作专项(一个项目一行)</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3B98BA20">
            <w:pPr>
              <w:rPr>
                <w:rFonts w:hint="eastAsia" w:ascii="仿宋" w:hAnsi="仿宋" w:eastAsia="仿宋" w:cs="仿宋"/>
                <w:i w:val="0"/>
                <w:iCs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27EFC99">
            <w:pPr>
              <w:rPr>
                <w:rFonts w:hint="eastAsia" w:ascii="仿宋" w:hAnsi="仿宋" w:eastAsia="仿宋" w:cs="仿宋"/>
                <w:i w:val="0"/>
                <w:iCs w:val="0"/>
                <w:color w:val="000000"/>
                <w:sz w:val="21"/>
                <w:szCs w:val="21"/>
                <w:u w:val="none"/>
              </w:rPr>
            </w:pPr>
          </w:p>
        </w:tc>
        <w:tc>
          <w:tcPr>
            <w:tcW w:w="2160" w:type="dxa"/>
            <w:tcBorders>
              <w:top w:val="single" w:color="000000" w:sz="4" w:space="0"/>
              <w:left w:val="single" w:color="000000" w:sz="4" w:space="0"/>
              <w:bottom w:val="single" w:color="000000" w:sz="4" w:space="0"/>
              <w:right w:val="single" w:color="000000" w:sz="4" w:space="0"/>
            </w:tcBorders>
            <w:noWrap w:val="0"/>
            <w:vAlign w:val="center"/>
          </w:tcPr>
          <w:p w14:paraId="2A255D6D">
            <w:pPr>
              <w:rPr>
                <w:rFonts w:hint="eastAsia" w:ascii="仿宋" w:hAnsi="仿宋" w:eastAsia="仿宋" w:cs="仿宋"/>
                <w:i w:val="0"/>
                <w:iCs w:val="0"/>
                <w:color w:val="000000"/>
                <w:sz w:val="21"/>
                <w:szCs w:val="21"/>
                <w:u w:val="none"/>
              </w:rPr>
            </w:pP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37C36BA4">
            <w:pPr>
              <w:rPr>
                <w:rFonts w:hint="eastAsia" w:ascii="仿宋" w:hAnsi="仿宋" w:eastAsia="仿宋" w:cs="仿宋"/>
                <w:i w:val="0"/>
                <w:iCs w:val="0"/>
                <w:color w:val="000000"/>
                <w:sz w:val="21"/>
                <w:szCs w:val="21"/>
                <w:u w:val="none"/>
              </w:rPr>
            </w:pPr>
          </w:p>
        </w:tc>
      </w:tr>
      <w:tr w14:paraId="4278D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2805" w:type="dxa"/>
            <w:tcBorders>
              <w:top w:val="single" w:color="000000" w:sz="4" w:space="0"/>
              <w:left w:val="single" w:color="000000" w:sz="4" w:space="0"/>
              <w:bottom w:val="single" w:color="000000" w:sz="4" w:space="0"/>
              <w:right w:val="single" w:color="000000" w:sz="4" w:space="0"/>
            </w:tcBorders>
            <w:noWrap w:val="0"/>
            <w:vAlign w:val="center"/>
          </w:tcPr>
          <w:p w14:paraId="0B23F8BF">
            <w:pPr>
              <w:keepNext w:val="0"/>
              <w:keepLines w:val="0"/>
              <w:widowControl/>
              <w:suppressLineNumbers w:val="0"/>
              <w:ind w:firstLine="400" w:firstLineChars="20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2、运行维护专项(一个项目一行)</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2C93CFEA">
            <w:pPr>
              <w:rPr>
                <w:rFonts w:hint="eastAsia" w:ascii="仿宋" w:hAnsi="仿宋" w:eastAsia="仿宋" w:cs="仿宋"/>
                <w:i w:val="0"/>
                <w:iCs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356A793">
            <w:pPr>
              <w:rPr>
                <w:rFonts w:hint="eastAsia" w:ascii="仿宋" w:hAnsi="仿宋" w:eastAsia="仿宋" w:cs="仿宋"/>
                <w:i w:val="0"/>
                <w:iCs w:val="0"/>
                <w:color w:val="000000"/>
                <w:sz w:val="21"/>
                <w:szCs w:val="21"/>
                <w:u w:val="none"/>
              </w:rPr>
            </w:pPr>
          </w:p>
        </w:tc>
        <w:tc>
          <w:tcPr>
            <w:tcW w:w="2160" w:type="dxa"/>
            <w:tcBorders>
              <w:top w:val="single" w:color="000000" w:sz="4" w:space="0"/>
              <w:left w:val="single" w:color="000000" w:sz="4" w:space="0"/>
              <w:bottom w:val="single" w:color="000000" w:sz="4" w:space="0"/>
              <w:right w:val="single" w:color="000000" w:sz="4" w:space="0"/>
            </w:tcBorders>
            <w:noWrap w:val="0"/>
            <w:vAlign w:val="center"/>
          </w:tcPr>
          <w:p w14:paraId="7A71DF80">
            <w:pPr>
              <w:rPr>
                <w:rFonts w:hint="eastAsia" w:ascii="仿宋" w:hAnsi="仿宋" w:eastAsia="仿宋" w:cs="仿宋"/>
                <w:i w:val="0"/>
                <w:iCs w:val="0"/>
                <w:color w:val="000000"/>
                <w:sz w:val="21"/>
                <w:szCs w:val="21"/>
                <w:u w:val="none"/>
              </w:rPr>
            </w:pP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6641C38E">
            <w:pPr>
              <w:rPr>
                <w:rFonts w:hint="eastAsia" w:ascii="仿宋" w:hAnsi="仿宋" w:eastAsia="仿宋" w:cs="仿宋"/>
                <w:i w:val="0"/>
                <w:iCs w:val="0"/>
                <w:color w:val="000000"/>
                <w:sz w:val="21"/>
                <w:szCs w:val="21"/>
                <w:u w:val="none"/>
              </w:rPr>
            </w:pPr>
          </w:p>
        </w:tc>
      </w:tr>
      <w:tr w14:paraId="04177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2805" w:type="dxa"/>
            <w:tcBorders>
              <w:top w:val="single" w:color="000000" w:sz="4" w:space="0"/>
              <w:left w:val="single" w:color="000000" w:sz="4" w:space="0"/>
              <w:bottom w:val="single" w:color="000000" w:sz="4" w:space="0"/>
              <w:right w:val="single" w:color="000000" w:sz="4" w:space="0"/>
            </w:tcBorders>
            <w:noWrap w:val="0"/>
            <w:vAlign w:val="center"/>
          </w:tcPr>
          <w:p w14:paraId="23C8578A">
            <w:pPr>
              <w:keepNext w:val="0"/>
              <w:keepLines w:val="0"/>
              <w:widowControl/>
              <w:suppressLineNumbers w:val="0"/>
              <w:ind w:firstLine="400" w:firstLineChars="20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 、县级专项资金（一个专项一行）</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2C72A166">
            <w:pPr>
              <w:rPr>
                <w:rFonts w:hint="eastAsia" w:ascii="仿宋" w:hAnsi="仿宋" w:eastAsia="仿宋" w:cs="仿宋"/>
                <w:i w:val="0"/>
                <w:iCs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768E3CB">
            <w:pPr>
              <w:rPr>
                <w:rFonts w:hint="eastAsia" w:ascii="仿宋" w:hAnsi="仿宋" w:eastAsia="仿宋" w:cs="仿宋"/>
                <w:i w:val="0"/>
                <w:iCs w:val="0"/>
                <w:color w:val="000000"/>
                <w:sz w:val="21"/>
                <w:szCs w:val="21"/>
                <w:u w:val="none"/>
              </w:rPr>
            </w:pPr>
          </w:p>
        </w:tc>
        <w:tc>
          <w:tcPr>
            <w:tcW w:w="2160" w:type="dxa"/>
            <w:tcBorders>
              <w:top w:val="single" w:color="000000" w:sz="4" w:space="0"/>
              <w:left w:val="single" w:color="000000" w:sz="4" w:space="0"/>
              <w:bottom w:val="single" w:color="000000" w:sz="4" w:space="0"/>
              <w:right w:val="single" w:color="000000" w:sz="4" w:space="0"/>
            </w:tcBorders>
            <w:noWrap w:val="0"/>
            <w:vAlign w:val="center"/>
          </w:tcPr>
          <w:p w14:paraId="00D0F9F9">
            <w:pPr>
              <w:rPr>
                <w:rFonts w:hint="eastAsia" w:ascii="仿宋" w:hAnsi="仿宋" w:eastAsia="仿宋" w:cs="仿宋"/>
                <w:i w:val="0"/>
                <w:iCs w:val="0"/>
                <w:color w:val="000000"/>
                <w:sz w:val="21"/>
                <w:szCs w:val="21"/>
                <w:u w:val="none"/>
              </w:rPr>
            </w:pP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4CD8E5A2">
            <w:pPr>
              <w:rPr>
                <w:rFonts w:hint="eastAsia" w:ascii="仿宋" w:hAnsi="仿宋" w:eastAsia="仿宋" w:cs="仿宋"/>
                <w:i w:val="0"/>
                <w:iCs w:val="0"/>
                <w:color w:val="000000"/>
                <w:sz w:val="21"/>
                <w:szCs w:val="21"/>
                <w:u w:val="none"/>
              </w:rPr>
            </w:pPr>
          </w:p>
        </w:tc>
      </w:tr>
      <w:tr w14:paraId="5DB1D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2805" w:type="dxa"/>
            <w:tcBorders>
              <w:top w:val="single" w:color="000000" w:sz="4" w:space="0"/>
              <w:left w:val="single" w:color="000000" w:sz="4" w:space="0"/>
              <w:bottom w:val="single" w:color="000000" w:sz="4" w:space="0"/>
              <w:right w:val="single" w:color="000000" w:sz="4" w:space="0"/>
            </w:tcBorders>
            <w:noWrap w:val="0"/>
            <w:vAlign w:val="center"/>
          </w:tcPr>
          <w:p w14:paraId="3BA6D572">
            <w:pPr>
              <w:keepNext w:val="0"/>
              <w:keepLines w:val="0"/>
              <w:widowControl/>
              <w:suppressLineNumbers w:val="0"/>
              <w:ind w:firstLine="800" w:firstLineChars="40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3E390FC9">
            <w:pPr>
              <w:rPr>
                <w:rFonts w:hint="eastAsia" w:ascii="仿宋" w:hAnsi="仿宋" w:eastAsia="仿宋" w:cs="仿宋"/>
                <w:i w:val="0"/>
                <w:iCs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275D615">
            <w:pPr>
              <w:rPr>
                <w:rFonts w:hint="eastAsia" w:ascii="仿宋" w:hAnsi="仿宋" w:eastAsia="仿宋" w:cs="仿宋"/>
                <w:i w:val="0"/>
                <w:iCs w:val="0"/>
                <w:color w:val="000000"/>
                <w:sz w:val="21"/>
                <w:szCs w:val="21"/>
                <w:u w:val="none"/>
              </w:rPr>
            </w:pPr>
          </w:p>
        </w:tc>
        <w:tc>
          <w:tcPr>
            <w:tcW w:w="2160" w:type="dxa"/>
            <w:tcBorders>
              <w:top w:val="single" w:color="000000" w:sz="4" w:space="0"/>
              <w:left w:val="single" w:color="000000" w:sz="4" w:space="0"/>
              <w:bottom w:val="single" w:color="000000" w:sz="4" w:space="0"/>
              <w:right w:val="single" w:color="000000" w:sz="4" w:space="0"/>
            </w:tcBorders>
            <w:noWrap w:val="0"/>
            <w:vAlign w:val="center"/>
          </w:tcPr>
          <w:p w14:paraId="19726AAD">
            <w:pPr>
              <w:rPr>
                <w:rFonts w:hint="eastAsia" w:ascii="仿宋" w:hAnsi="仿宋" w:eastAsia="仿宋" w:cs="仿宋"/>
                <w:i w:val="0"/>
                <w:iCs w:val="0"/>
                <w:color w:val="000000"/>
                <w:sz w:val="21"/>
                <w:szCs w:val="21"/>
                <w:u w:val="none"/>
              </w:rPr>
            </w:pP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24CED5CB">
            <w:pPr>
              <w:rPr>
                <w:rFonts w:hint="eastAsia" w:ascii="仿宋" w:hAnsi="仿宋" w:eastAsia="仿宋" w:cs="仿宋"/>
                <w:i w:val="0"/>
                <w:iCs w:val="0"/>
                <w:color w:val="000000"/>
                <w:sz w:val="21"/>
                <w:szCs w:val="21"/>
                <w:u w:val="none"/>
              </w:rPr>
            </w:pPr>
          </w:p>
        </w:tc>
      </w:tr>
      <w:tr w14:paraId="66364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2805" w:type="dxa"/>
            <w:tcBorders>
              <w:top w:val="single" w:color="000000" w:sz="4" w:space="0"/>
              <w:left w:val="single" w:color="000000" w:sz="4" w:space="0"/>
              <w:bottom w:val="single" w:color="000000" w:sz="4" w:space="0"/>
              <w:right w:val="single" w:color="000000" w:sz="4" w:space="0"/>
            </w:tcBorders>
            <w:noWrap w:val="0"/>
            <w:vAlign w:val="center"/>
          </w:tcPr>
          <w:p w14:paraId="7106536C">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公用经费</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2CBABDC0">
            <w:pPr>
              <w:rPr>
                <w:rFonts w:hint="eastAsia" w:ascii="仿宋" w:hAnsi="仿宋" w:eastAsia="仿宋" w:cs="仿宋"/>
                <w:i w:val="0"/>
                <w:iCs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F51C7E8">
            <w:pPr>
              <w:rPr>
                <w:rFonts w:hint="default"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370.1</w:t>
            </w:r>
          </w:p>
        </w:tc>
        <w:tc>
          <w:tcPr>
            <w:tcW w:w="2160" w:type="dxa"/>
            <w:tcBorders>
              <w:top w:val="single" w:color="000000" w:sz="4" w:space="0"/>
              <w:left w:val="single" w:color="000000" w:sz="4" w:space="0"/>
              <w:bottom w:val="single" w:color="000000" w:sz="4" w:space="0"/>
              <w:right w:val="single" w:color="000000" w:sz="4" w:space="0"/>
            </w:tcBorders>
            <w:noWrap w:val="0"/>
            <w:vAlign w:val="center"/>
          </w:tcPr>
          <w:p w14:paraId="6C27B568">
            <w:pPr>
              <w:tabs>
                <w:tab w:val="center" w:pos="972"/>
              </w:tabs>
              <w:rPr>
                <w:rFonts w:hint="default"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103.88</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7C5A89B2">
            <w:pPr>
              <w:rPr>
                <w:rFonts w:hint="default"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346.99</w:t>
            </w:r>
          </w:p>
        </w:tc>
      </w:tr>
      <w:tr w14:paraId="6A7C5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2805" w:type="dxa"/>
            <w:tcBorders>
              <w:top w:val="single" w:color="000000" w:sz="4" w:space="0"/>
              <w:left w:val="single" w:color="000000" w:sz="4" w:space="0"/>
              <w:bottom w:val="single" w:color="000000" w:sz="4" w:space="0"/>
              <w:right w:val="single" w:color="000000" w:sz="4" w:space="0"/>
            </w:tcBorders>
            <w:noWrap w:val="0"/>
            <w:vAlign w:val="center"/>
          </w:tcPr>
          <w:p w14:paraId="4CEEFA89">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其中：办公经费</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2FDA7B7A">
            <w:pPr>
              <w:rPr>
                <w:rFonts w:hint="eastAsia" w:ascii="仿宋" w:hAnsi="仿宋" w:eastAsia="仿宋" w:cs="仿宋"/>
                <w:i w:val="0"/>
                <w:iCs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AC2BAB4">
            <w:pPr>
              <w:tabs>
                <w:tab w:val="left" w:pos="595"/>
              </w:tabs>
              <w:rPr>
                <w:rFonts w:hint="default"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17.53</w:t>
            </w:r>
          </w:p>
        </w:tc>
        <w:tc>
          <w:tcPr>
            <w:tcW w:w="2160" w:type="dxa"/>
            <w:tcBorders>
              <w:top w:val="single" w:color="000000" w:sz="4" w:space="0"/>
              <w:left w:val="single" w:color="000000" w:sz="4" w:space="0"/>
              <w:bottom w:val="single" w:color="000000" w:sz="4" w:space="0"/>
              <w:right w:val="single" w:color="000000" w:sz="4" w:space="0"/>
            </w:tcBorders>
            <w:noWrap w:val="0"/>
            <w:vAlign w:val="center"/>
          </w:tcPr>
          <w:p w14:paraId="113BCD96">
            <w:pPr>
              <w:rPr>
                <w:rFonts w:hint="default"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54.43</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0ECD546E">
            <w:pPr>
              <w:rPr>
                <w:rFonts w:hint="default"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13.22</w:t>
            </w:r>
          </w:p>
        </w:tc>
      </w:tr>
      <w:tr w14:paraId="43176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2805" w:type="dxa"/>
            <w:tcBorders>
              <w:top w:val="single" w:color="000000" w:sz="4" w:space="0"/>
              <w:left w:val="single" w:color="000000" w:sz="4" w:space="0"/>
              <w:bottom w:val="single" w:color="000000" w:sz="4" w:space="0"/>
              <w:right w:val="single" w:color="000000" w:sz="4" w:space="0"/>
            </w:tcBorders>
            <w:noWrap w:val="0"/>
            <w:vAlign w:val="center"/>
          </w:tcPr>
          <w:p w14:paraId="70CD5C7E">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水费 、电费</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0D33CDE2">
            <w:pPr>
              <w:rPr>
                <w:rFonts w:hint="eastAsia" w:ascii="仿宋" w:hAnsi="仿宋" w:eastAsia="仿宋" w:cs="仿宋"/>
                <w:i w:val="0"/>
                <w:iCs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D8E39D0">
            <w:pPr>
              <w:rPr>
                <w:rFonts w:hint="default"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19.79</w:t>
            </w:r>
          </w:p>
        </w:tc>
        <w:tc>
          <w:tcPr>
            <w:tcW w:w="2160" w:type="dxa"/>
            <w:tcBorders>
              <w:top w:val="single" w:color="000000" w:sz="4" w:space="0"/>
              <w:left w:val="single" w:color="000000" w:sz="4" w:space="0"/>
              <w:bottom w:val="single" w:color="000000" w:sz="4" w:space="0"/>
              <w:right w:val="single" w:color="000000" w:sz="4" w:space="0"/>
            </w:tcBorders>
            <w:noWrap w:val="0"/>
            <w:vAlign w:val="center"/>
          </w:tcPr>
          <w:p w14:paraId="656F1CE2">
            <w:pPr>
              <w:rPr>
                <w:rFonts w:hint="eastAsia"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0</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0477654C">
            <w:pPr>
              <w:rPr>
                <w:rFonts w:hint="default"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23.48</w:t>
            </w:r>
          </w:p>
        </w:tc>
      </w:tr>
      <w:tr w14:paraId="78585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805" w:type="dxa"/>
            <w:tcBorders>
              <w:top w:val="single" w:color="000000" w:sz="4" w:space="0"/>
              <w:left w:val="single" w:color="000000" w:sz="4" w:space="0"/>
              <w:bottom w:val="single" w:color="000000" w:sz="4" w:space="0"/>
              <w:right w:val="single" w:color="000000" w:sz="4" w:space="0"/>
            </w:tcBorders>
            <w:noWrap w:val="0"/>
            <w:vAlign w:val="center"/>
          </w:tcPr>
          <w:p w14:paraId="6C43ED75">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差旅费</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7FCA3B2A">
            <w:pPr>
              <w:rPr>
                <w:rFonts w:hint="eastAsia" w:ascii="仿宋" w:hAnsi="仿宋" w:eastAsia="仿宋" w:cs="仿宋"/>
                <w:i w:val="0"/>
                <w:iCs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4AA7284">
            <w:pPr>
              <w:rPr>
                <w:rFonts w:hint="default"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10.53</w:t>
            </w:r>
          </w:p>
        </w:tc>
        <w:tc>
          <w:tcPr>
            <w:tcW w:w="2160" w:type="dxa"/>
            <w:tcBorders>
              <w:top w:val="single" w:color="000000" w:sz="4" w:space="0"/>
              <w:left w:val="single" w:color="000000" w:sz="4" w:space="0"/>
              <w:bottom w:val="single" w:color="000000" w:sz="4" w:space="0"/>
              <w:right w:val="single" w:color="000000" w:sz="4" w:space="0"/>
            </w:tcBorders>
            <w:noWrap w:val="0"/>
            <w:vAlign w:val="center"/>
          </w:tcPr>
          <w:p w14:paraId="52E5C017">
            <w:pPr>
              <w:rPr>
                <w:rFonts w:hint="eastAsia"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0</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5E2FDEBE">
            <w:pPr>
              <w:rPr>
                <w:rFonts w:hint="default"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21.06</w:t>
            </w:r>
          </w:p>
        </w:tc>
      </w:tr>
      <w:tr w14:paraId="22DCD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805" w:type="dxa"/>
            <w:tcBorders>
              <w:top w:val="single" w:color="000000" w:sz="4" w:space="0"/>
              <w:left w:val="single" w:color="000000" w:sz="4" w:space="0"/>
              <w:bottom w:val="single" w:color="000000" w:sz="4" w:space="0"/>
              <w:right w:val="single" w:color="000000" w:sz="4" w:space="0"/>
            </w:tcBorders>
            <w:noWrap w:val="0"/>
            <w:vAlign w:val="center"/>
          </w:tcPr>
          <w:p w14:paraId="503C0772">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会议费 、培训费</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3A43F326">
            <w:pPr>
              <w:rPr>
                <w:rFonts w:hint="eastAsia" w:ascii="仿宋" w:hAnsi="仿宋" w:eastAsia="仿宋" w:cs="仿宋"/>
                <w:i w:val="0"/>
                <w:iCs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3E98A41">
            <w:pPr>
              <w:rPr>
                <w:rFonts w:hint="default"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2.66</w:t>
            </w:r>
          </w:p>
        </w:tc>
        <w:tc>
          <w:tcPr>
            <w:tcW w:w="2160" w:type="dxa"/>
            <w:tcBorders>
              <w:top w:val="single" w:color="000000" w:sz="4" w:space="0"/>
              <w:left w:val="single" w:color="000000" w:sz="4" w:space="0"/>
              <w:bottom w:val="single" w:color="000000" w:sz="4" w:space="0"/>
              <w:right w:val="single" w:color="000000" w:sz="4" w:space="0"/>
            </w:tcBorders>
            <w:noWrap w:val="0"/>
            <w:vAlign w:val="center"/>
          </w:tcPr>
          <w:p w14:paraId="10C64155">
            <w:pPr>
              <w:rPr>
                <w:rFonts w:hint="default"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1.3</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72700A1D">
            <w:pPr>
              <w:rPr>
                <w:rFonts w:hint="default"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1.63</w:t>
            </w:r>
          </w:p>
        </w:tc>
      </w:tr>
      <w:tr w14:paraId="46400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2805" w:type="dxa"/>
            <w:tcBorders>
              <w:top w:val="single" w:color="000000" w:sz="4" w:space="0"/>
              <w:left w:val="single" w:color="000000" w:sz="4" w:space="0"/>
              <w:bottom w:val="single" w:color="000000" w:sz="4" w:space="0"/>
              <w:right w:val="single" w:color="000000" w:sz="4" w:space="0"/>
            </w:tcBorders>
            <w:noWrap w:val="0"/>
            <w:vAlign w:val="center"/>
          </w:tcPr>
          <w:p w14:paraId="5911AF04">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政府采购金额</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768D1BAE">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E940A11">
            <w:pPr>
              <w:rPr>
                <w:rFonts w:hint="eastAsia" w:ascii="仿宋" w:hAnsi="仿宋" w:eastAsia="仿宋" w:cs="仿宋"/>
                <w:i w:val="0"/>
                <w:iCs w:val="0"/>
                <w:color w:val="000000"/>
                <w:sz w:val="20"/>
                <w:szCs w:val="20"/>
                <w:u w:val="none"/>
              </w:rPr>
            </w:pPr>
          </w:p>
        </w:tc>
        <w:tc>
          <w:tcPr>
            <w:tcW w:w="2160" w:type="dxa"/>
            <w:tcBorders>
              <w:top w:val="single" w:color="000000" w:sz="4" w:space="0"/>
              <w:left w:val="single" w:color="000000" w:sz="4" w:space="0"/>
              <w:bottom w:val="single" w:color="000000" w:sz="4" w:space="0"/>
              <w:right w:val="single" w:color="000000" w:sz="4" w:space="0"/>
            </w:tcBorders>
            <w:noWrap w:val="0"/>
            <w:vAlign w:val="center"/>
          </w:tcPr>
          <w:p w14:paraId="5C68E31E">
            <w:pPr>
              <w:rPr>
                <w:rFonts w:hint="eastAsia" w:ascii="仿宋" w:hAnsi="仿宋" w:eastAsia="仿宋" w:cs="仿宋"/>
                <w:i w:val="0"/>
                <w:iCs w:val="0"/>
                <w:color w:val="000000"/>
                <w:sz w:val="21"/>
                <w:szCs w:val="21"/>
                <w:u w:val="none"/>
              </w:rPr>
            </w:pP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0E42A3B2">
            <w:pPr>
              <w:rPr>
                <w:rFonts w:hint="eastAsia" w:ascii="仿宋" w:hAnsi="仿宋" w:eastAsia="仿宋" w:cs="仿宋"/>
                <w:i w:val="0"/>
                <w:iCs w:val="0"/>
                <w:color w:val="000000"/>
                <w:sz w:val="21"/>
                <w:szCs w:val="21"/>
                <w:u w:val="none"/>
              </w:rPr>
            </w:pPr>
          </w:p>
        </w:tc>
      </w:tr>
      <w:tr w14:paraId="7EF62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805" w:type="dxa"/>
            <w:tcBorders>
              <w:top w:val="single" w:color="000000" w:sz="4" w:space="0"/>
              <w:left w:val="single" w:color="000000" w:sz="4" w:space="0"/>
              <w:bottom w:val="single" w:color="000000" w:sz="4" w:space="0"/>
              <w:right w:val="single" w:color="000000" w:sz="4" w:space="0"/>
            </w:tcBorders>
            <w:noWrap w:val="0"/>
            <w:vAlign w:val="center"/>
          </w:tcPr>
          <w:p w14:paraId="054471BB">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部门基本支出预算调整</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16038A65">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C0211F1">
            <w:pPr>
              <w:rPr>
                <w:rFonts w:hint="eastAsia" w:ascii="仿宋" w:hAnsi="仿宋" w:eastAsia="仿宋" w:cs="仿宋"/>
                <w:i w:val="0"/>
                <w:iCs w:val="0"/>
                <w:color w:val="000000"/>
                <w:sz w:val="20"/>
                <w:szCs w:val="20"/>
                <w:u w:val="none"/>
              </w:rPr>
            </w:pPr>
          </w:p>
        </w:tc>
        <w:tc>
          <w:tcPr>
            <w:tcW w:w="2160" w:type="dxa"/>
            <w:tcBorders>
              <w:top w:val="single" w:color="000000" w:sz="4" w:space="0"/>
              <w:left w:val="single" w:color="000000" w:sz="4" w:space="0"/>
              <w:bottom w:val="single" w:color="000000" w:sz="4" w:space="0"/>
              <w:right w:val="single" w:color="000000" w:sz="4" w:space="0"/>
            </w:tcBorders>
            <w:noWrap w:val="0"/>
            <w:vAlign w:val="center"/>
          </w:tcPr>
          <w:p w14:paraId="36A2F33C">
            <w:pPr>
              <w:rPr>
                <w:rFonts w:hint="eastAsia" w:ascii="仿宋" w:hAnsi="仿宋" w:eastAsia="仿宋" w:cs="仿宋"/>
                <w:i w:val="0"/>
                <w:iCs w:val="0"/>
                <w:color w:val="000000"/>
                <w:sz w:val="21"/>
                <w:szCs w:val="21"/>
                <w:u w:val="none"/>
              </w:rPr>
            </w:pP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1958C49B">
            <w:pPr>
              <w:rPr>
                <w:rFonts w:hint="eastAsia" w:ascii="仿宋" w:hAnsi="仿宋" w:eastAsia="仿宋" w:cs="仿宋"/>
                <w:i w:val="0"/>
                <w:iCs w:val="0"/>
                <w:color w:val="000000"/>
                <w:sz w:val="21"/>
                <w:szCs w:val="21"/>
                <w:u w:val="none"/>
              </w:rPr>
            </w:pPr>
          </w:p>
        </w:tc>
      </w:tr>
      <w:tr w14:paraId="07E04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5" w:hRule="atLeast"/>
          <w:jc w:val="center"/>
        </w:trPr>
        <w:tc>
          <w:tcPr>
            <w:tcW w:w="2805" w:type="dxa"/>
            <w:tcBorders>
              <w:top w:val="single" w:color="000000" w:sz="4" w:space="0"/>
              <w:left w:val="single" w:color="000000" w:sz="4" w:space="0"/>
              <w:bottom w:val="single" w:color="000000" w:sz="4" w:space="0"/>
              <w:right w:val="single" w:color="000000" w:sz="4" w:space="0"/>
            </w:tcBorders>
            <w:noWrap w:val="0"/>
            <w:vAlign w:val="center"/>
          </w:tcPr>
          <w:p w14:paraId="038250F9">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厉行节约保障措施</w:t>
            </w: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4460F406">
            <w:pPr>
              <w:numPr>
                <w:ilvl w:val="0"/>
                <w:numId w:val="4"/>
              </w:numPr>
              <w:rPr>
                <w:rFonts w:hint="eastAsia" w:ascii="宋体" w:hAnsi="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厉行节约，严格控制“三公经费支出”。</w:t>
            </w:r>
          </w:p>
          <w:p w14:paraId="67CC1B1D">
            <w:pPr>
              <w:numPr>
                <w:ilvl w:val="0"/>
                <w:numId w:val="0"/>
              </w:numPr>
              <w:rPr>
                <w:rFonts w:hint="default" w:ascii="宋体" w:hAnsi="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2.把握控制会议及培训的数量、时间和规模。</w:t>
            </w:r>
          </w:p>
        </w:tc>
      </w:tr>
    </w:tbl>
    <w:p w14:paraId="6FF17130">
      <w:pPr>
        <w:pStyle w:val="6"/>
        <w:ind w:left="0" w:leftChars="0"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说明：“项目支出”需要填报基本支出以外的所有项目支出情况，“公用经费”填报基本支出的一般商品和服务支出。</w:t>
      </w:r>
    </w:p>
    <w:p w14:paraId="01BFCF0E">
      <w:pPr>
        <w:pStyle w:val="6"/>
        <w:ind w:left="0" w:leftChars="0" w:firstLine="0" w:firstLineChars="0"/>
        <w:rPr>
          <w:rFonts w:hint="eastAsia" w:ascii="仿宋" w:hAnsi="仿宋" w:eastAsia="仿宋" w:cs="仿宋"/>
          <w:sz w:val="24"/>
          <w:szCs w:val="24"/>
          <w:lang w:val="en-US" w:eastAsia="zh-CN"/>
        </w:rPr>
      </w:pPr>
    </w:p>
    <w:p w14:paraId="367887F2">
      <w:pPr>
        <w:pStyle w:val="6"/>
        <w:ind w:left="0" w:leftChars="0" w:firstLine="0"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填表人：黎三娥   联系电话15575594958    单位负责人签字：杨艳义</w:t>
      </w:r>
    </w:p>
    <w:p w14:paraId="50E83D1C">
      <w:pPr>
        <w:adjustRightInd w:val="0"/>
        <w:spacing w:line="600" w:lineRule="exact"/>
        <w:ind w:right="641"/>
        <w:rPr>
          <w:rFonts w:hint="eastAsia" w:ascii="黑体" w:eastAsia="黑体"/>
          <w:sz w:val="32"/>
          <w:szCs w:val="32"/>
        </w:rPr>
      </w:pPr>
    </w:p>
    <w:p w14:paraId="12041B8A">
      <w:pPr>
        <w:adjustRightInd w:val="0"/>
        <w:spacing w:line="600" w:lineRule="exact"/>
        <w:ind w:right="641"/>
        <w:rPr>
          <w:rFonts w:hint="eastAsia" w:ascii="黑体" w:eastAsia="黑体"/>
          <w:sz w:val="32"/>
          <w:szCs w:val="32"/>
        </w:rPr>
      </w:pPr>
    </w:p>
    <w:p w14:paraId="2CCF6011">
      <w:pPr>
        <w:adjustRightInd w:val="0"/>
        <w:spacing w:line="600" w:lineRule="exact"/>
        <w:ind w:right="641"/>
        <w:rPr>
          <w:rFonts w:hint="eastAsia" w:ascii="黑体" w:eastAsia="黑体"/>
          <w:sz w:val="32"/>
          <w:szCs w:val="32"/>
        </w:rPr>
      </w:pPr>
    </w:p>
    <w:p w14:paraId="29D4C862">
      <w:pPr>
        <w:rPr>
          <w:rFonts w:ascii="仿宋" w:hAnsi="仿宋" w:eastAsia="仿宋" w:cs="仿宋"/>
          <w:sz w:val="32"/>
          <w:szCs w:val="32"/>
        </w:rPr>
      </w:pPr>
    </w:p>
    <w:sectPr>
      <w:pgSz w:w="11905" w:h="16837"/>
      <w:pgMar w:top="1417" w:right="1417" w:bottom="1417" w:left="1417" w:header="0" w:footer="0" w:gutter="0"/>
      <w:pgNumType w:start="1"/>
      <w:cols w:space="0" w:num="1"/>
      <w:rtlGutter w:val="0"/>
      <w:docGrid w:linePitch="63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7A"/>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黑体"/>
    <w:panose1 w:val="03000509000000000000"/>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小标宋_GBK">
    <w:altName w:val="微软雅黑"/>
    <w:panose1 w:val="00000000000000000000"/>
    <w:charset w:val="86"/>
    <w:family w:val="script"/>
    <w:pitch w:val="default"/>
    <w:sig w:usb0="00000000" w:usb1="00000000" w:usb2="00082016" w:usb3="00000000" w:csb0="00040001"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altName w:val="仿宋"/>
    <w:panose1 w:val="00000000000000000000"/>
    <w:charset w:val="00"/>
    <w:family w:val="auto"/>
    <w:pitch w:val="default"/>
    <w:sig w:usb0="00000000" w:usb1="00000000" w:usb2="00000000" w:usb3="00000000" w:csb0="00000000" w:csb1="00000000"/>
  </w:font>
  <w:font w:name="方正粗黑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57058033"/>
      <w:docPartObj>
        <w:docPartGallery w:val="autotext"/>
      </w:docPartObj>
    </w:sdtPr>
    <w:sdtContent>
      <w:p w14:paraId="71D34A14">
        <w:pPr>
          <w:pStyle w:val="3"/>
          <w:jc w:val="center"/>
        </w:pPr>
        <w:r>
          <w:fldChar w:fldCharType="begin"/>
        </w:r>
        <w:r>
          <w:instrText xml:space="preserve">PAGE   \* MERGEFORMAT</w:instrText>
        </w:r>
        <w:r>
          <w:fldChar w:fldCharType="separate"/>
        </w:r>
        <w:r>
          <w:rPr>
            <w:lang w:val="zh-CN"/>
          </w:rPr>
          <w:t>3</w:t>
        </w:r>
        <w:r>
          <w:fldChar w:fldCharType="end"/>
        </w:r>
      </w:p>
    </w:sdtContent>
  </w:sdt>
  <w:p w14:paraId="2B9DA2BC">
    <w:pPr>
      <w:pStyle w:val="3"/>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1D5BFF"/>
    <w:multiLevelType w:val="singleLevel"/>
    <w:tmpl w:val="8E1D5BFF"/>
    <w:lvl w:ilvl="0" w:tentative="0">
      <w:start w:val="1"/>
      <w:numFmt w:val="decimal"/>
      <w:lvlText w:val="%1."/>
      <w:lvlJc w:val="left"/>
      <w:pPr>
        <w:tabs>
          <w:tab w:val="left" w:pos="312"/>
        </w:tabs>
      </w:pPr>
    </w:lvl>
  </w:abstractNum>
  <w:abstractNum w:abstractNumId="1">
    <w:nsid w:val="D881756C"/>
    <w:multiLevelType w:val="singleLevel"/>
    <w:tmpl w:val="D881756C"/>
    <w:lvl w:ilvl="0" w:tentative="0">
      <w:start w:val="2"/>
      <w:numFmt w:val="chineseCounting"/>
      <w:suff w:val="nothing"/>
      <w:lvlText w:val="（%1）"/>
      <w:lvlJc w:val="left"/>
      <w:rPr>
        <w:rFonts w:hint="eastAsia"/>
      </w:rPr>
    </w:lvl>
  </w:abstractNum>
  <w:abstractNum w:abstractNumId="2">
    <w:nsid w:val="F1A2FB3C"/>
    <w:multiLevelType w:val="singleLevel"/>
    <w:tmpl w:val="F1A2FB3C"/>
    <w:lvl w:ilvl="0" w:tentative="0">
      <w:start w:val="3"/>
      <w:numFmt w:val="chineseCounting"/>
      <w:suff w:val="nothing"/>
      <w:lvlText w:val="%1、"/>
      <w:lvlJc w:val="left"/>
      <w:rPr>
        <w:rFonts w:hint="eastAsia"/>
      </w:rPr>
    </w:lvl>
  </w:abstractNum>
  <w:abstractNum w:abstractNumId="3">
    <w:nsid w:val="00CDD489"/>
    <w:multiLevelType w:val="singleLevel"/>
    <w:tmpl w:val="00CDD489"/>
    <w:lvl w:ilvl="0" w:tentative="0">
      <w:start w:val="8"/>
      <w:numFmt w:val="chineseCounting"/>
      <w:suff w:val="nothing"/>
      <w:lvlText w:val="%1、"/>
      <w:lvlJc w:val="left"/>
      <w:rPr>
        <w:rFonts w:hint="eastAsia"/>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56"/>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BiNTgzYTZjNzEyMmY0NDc0MWViNGJlYmQzM2QyNjYifQ=="/>
  </w:docVars>
  <w:rsids>
    <w:rsidRoot w:val="00172A27"/>
    <w:rsid w:val="00060A62"/>
    <w:rsid w:val="000661B1"/>
    <w:rsid w:val="00073D6C"/>
    <w:rsid w:val="000768C7"/>
    <w:rsid w:val="000B44C0"/>
    <w:rsid w:val="000D7D97"/>
    <w:rsid w:val="000E049D"/>
    <w:rsid w:val="000E7434"/>
    <w:rsid w:val="00104762"/>
    <w:rsid w:val="00115E34"/>
    <w:rsid w:val="001164BB"/>
    <w:rsid w:val="00117D9C"/>
    <w:rsid w:val="001207C7"/>
    <w:rsid w:val="00124D3D"/>
    <w:rsid w:val="001325BE"/>
    <w:rsid w:val="001423EB"/>
    <w:rsid w:val="00153A3A"/>
    <w:rsid w:val="0015771F"/>
    <w:rsid w:val="001658D4"/>
    <w:rsid w:val="00172A27"/>
    <w:rsid w:val="001802CF"/>
    <w:rsid w:val="001B772D"/>
    <w:rsid w:val="001D59EB"/>
    <w:rsid w:val="002106FB"/>
    <w:rsid w:val="00253DD9"/>
    <w:rsid w:val="002616DB"/>
    <w:rsid w:val="00292D3A"/>
    <w:rsid w:val="002A5C3D"/>
    <w:rsid w:val="002A6620"/>
    <w:rsid w:val="002B2D2E"/>
    <w:rsid w:val="002E3C7F"/>
    <w:rsid w:val="002E7CE5"/>
    <w:rsid w:val="002F5042"/>
    <w:rsid w:val="002F65FE"/>
    <w:rsid w:val="00332386"/>
    <w:rsid w:val="00332970"/>
    <w:rsid w:val="003355CD"/>
    <w:rsid w:val="0036796A"/>
    <w:rsid w:val="003B1FDB"/>
    <w:rsid w:val="003F2C9F"/>
    <w:rsid w:val="00422C78"/>
    <w:rsid w:val="004319E5"/>
    <w:rsid w:val="00453C41"/>
    <w:rsid w:val="004563F5"/>
    <w:rsid w:val="00462A9D"/>
    <w:rsid w:val="00463C10"/>
    <w:rsid w:val="00496CD8"/>
    <w:rsid w:val="004A7F44"/>
    <w:rsid w:val="004B36F1"/>
    <w:rsid w:val="004B47BC"/>
    <w:rsid w:val="004C66F5"/>
    <w:rsid w:val="004F1216"/>
    <w:rsid w:val="00501DDC"/>
    <w:rsid w:val="00516AA9"/>
    <w:rsid w:val="005672D6"/>
    <w:rsid w:val="0057317D"/>
    <w:rsid w:val="00610CD5"/>
    <w:rsid w:val="00612D17"/>
    <w:rsid w:val="00631A52"/>
    <w:rsid w:val="00645A4C"/>
    <w:rsid w:val="006621F1"/>
    <w:rsid w:val="006B1E81"/>
    <w:rsid w:val="006C3017"/>
    <w:rsid w:val="006E5FF1"/>
    <w:rsid w:val="00700689"/>
    <w:rsid w:val="007067D4"/>
    <w:rsid w:val="007136CC"/>
    <w:rsid w:val="0075493C"/>
    <w:rsid w:val="007760AD"/>
    <w:rsid w:val="0078468B"/>
    <w:rsid w:val="007A209E"/>
    <w:rsid w:val="008012C0"/>
    <w:rsid w:val="00817AEC"/>
    <w:rsid w:val="00837118"/>
    <w:rsid w:val="0087048D"/>
    <w:rsid w:val="008838FC"/>
    <w:rsid w:val="008909E3"/>
    <w:rsid w:val="00890A63"/>
    <w:rsid w:val="008A2B85"/>
    <w:rsid w:val="008A4F15"/>
    <w:rsid w:val="008B501F"/>
    <w:rsid w:val="008D6B2C"/>
    <w:rsid w:val="009140BB"/>
    <w:rsid w:val="009176F1"/>
    <w:rsid w:val="00926A7B"/>
    <w:rsid w:val="009461E1"/>
    <w:rsid w:val="00953880"/>
    <w:rsid w:val="00961EF6"/>
    <w:rsid w:val="0097621D"/>
    <w:rsid w:val="00991243"/>
    <w:rsid w:val="009C0C95"/>
    <w:rsid w:val="009F198A"/>
    <w:rsid w:val="009F479D"/>
    <w:rsid w:val="00A022E1"/>
    <w:rsid w:val="00A23493"/>
    <w:rsid w:val="00A24D28"/>
    <w:rsid w:val="00A43D18"/>
    <w:rsid w:val="00A72D44"/>
    <w:rsid w:val="00AB71CD"/>
    <w:rsid w:val="00AD58C8"/>
    <w:rsid w:val="00AE03E4"/>
    <w:rsid w:val="00AF1164"/>
    <w:rsid w:val="00AF6C78"/>
    <w:rsid w:val="00B2595B"/>
    <w:rsid w:val="00B260CD"/>
    <w:rsid w:val="00B30CBF"/>
    <w:rsid w:val="00B311B7"/>
    <w:rsid w:val="00B41963"/>
    <w:rsid w:val="00B510C4"/>
    <w:rsid w:val="00B53D76"/>
    <w:rsid w:val="00B81179"/>
    <w:rsid w:val="00B85F42"/>
    <w:rsid w:val="00BB4FEC"/>
    <w:rsid w:val="00BC3FA3"/>
    <w:rsid w:val="00BF35E4"/>
    <w:rsid w:val="00C16596"/>
    <w:rsid w:val="00C673FA"/>
    <w:rsid w:val="00CA77FB"/>
    <w:rsid w:val="00CD3317"/>
    <w:rsid w:val="00CD6EB8"/>
    <w:rsid w:val="00CE78A7"/>
    <w:rsid w:val="00CF55D0"/>
    <w:rsid w:val="00CF6A9D"/>
    <w:rsid w:val="00D26F72"/>
    <w:rsid w:val="00D339BB"/>
    <w:rsid w:val="00D42735"/>
    <w:rsid w:val="00DB08C2"/>
    <w:rsid w:val="00DB4D61"/>
    <w:rsid w:val="00DB78B9"/>
    <w:rsid w:val="00DE3F24"/>
    <w:rsid w:val="00DF64ED"/>
    <w:rsid w:val="00DF7938"/>
    <w:rsid w:val="00E04E28"/>
    <w:rsid w:val="00E11B07"/>
    <w:rsid w:val="00E13476"/>
    <w:rsid w:val="00E61B2B"/>
    <w:rsid w:val="00F62AE0"/>
    <w:rsid w:val="00FF4638"/>
    <w:rsid w:val="03BA01AE"/>
    <w:rsid w:val="055F72FC"/>
    <w:rsid w:val="05C63780"/>
    <w:rsid w:val="062736E9"/>
    <w:rsid w:val="06B14C94"/>
    <w:rsid w:val="07061C60"/>
    <w:rsid w:val="07601F6F"/>
    <w:rsid w:val="07C477E3"/>
    <w:rsid w:val="0859360A"/>
    <w:rsid w:val="087251E8"/>
    <w:rsid w:val="08AA0601"/>
    <w:rsid w:val="090C0797"/>
    <w:rsid w:val="092550F0"/>
    <w:rsid w:val="09636F12"/>
    <w:rsid w:val="09E12F56"/>
    <w:rsid w:val="0B402ED3"/>
    <w:rsid w:val="0B5575DE"/>
    <w:rsid w:val="0B595BEC"/>
    <w:rsid w:val="0C2A7A8F"/>
    <w:rsid w:val="0D013842"/>
    <w:rsid w:val="0D605FA4"/>
    <w:rsid w:val="0DAC1131"/>
    <w:rsid w:val="0DAF1CA5"/>
    <w:rsid w:val="0DCD1FE2"/>
    <w:rsid w:val="0F0351A9"/>
    <w:rsid w:val="0F1C336A"/>
    <w:rsid w:val="0F6040CA"/>
    <w:rsid w:val="0F686EA2"/>
    <w:rsid w:val="0FA4224E"/>
    <w:rsid w:val="10125033"/>
    <w:rsid w:val="10831E63"/>
    <w:rsid w:val="129C7619"/>
    <w:rsid w:val="13063EC3"/>
    <w:rsid w:val="1360648C"/>
    <w:rsid w:val="13683380"/>
    <w:rsid w:val="17163A31"/>
    <w:rsid w:val="194621AC"/>
    <w:rsid w:val="1C96001A"/>
    <w:rsid w:val="1CC76514"/>
    <w:rsid w:val="1DA67C4F"/>
    <w:rsid w:val="1E4A056C"/>
    <w:rsid w:val="1E546CEA"/>
    <w:rsid w:val="1F43738D"/>
    <w:rsid w:val="2051109F"/>
    <w:rsid w:val="20B56069"/>
    <w:rsid w:val="20DC27D1"/>
    <w:rsid w:val="213F01B2"/>
    <w:rsid w:val="21486D67"/>
    <w:rsid w:val="217355DC"/>
    <w:rsid w:val="23B26890"/>
    <w:rsid w:val="23F62381"/>
    <w:rsid w:val="257C53A7"/>
    <w:rsid w:val="26A1499A"/>
    <w:rsid w:val="26A61FB0"/>
    <w:rsid w:val="26CA0729"/>
    <w:rsid w:val="26EC76C6"/>
    <w:rsid w:val="273137CC"/>
    <w:rsid w:val="27654B82"/>
    <w:rsid w:val="279C010A"/>
    <w:rsid w:val="27BB7CDD"/>
    <w:rsid w:val="297E7214"/>
    <w:rsid w:val="2ACD4C49"/>
    <w:rsid w:val="2B21227D"/>
    <w:rsid w:val="2B9C3577"/>
    <w:rsid w:val="2BBA09D7"/>
    <w:rsid w:val="2BD440AE"/>
    <w:rsid w:val="2BD575BF"/>
    <w:rsid w:val="2C6944DC"/>
    <w:rsid w:val="2DB2495A"/>
    <w:rsid w:val="2EF0518E"/>
    <w:rsid w:val="2F373F0A"/>
    <w:rsid w:val="2F465CE9"/>
    <w:rsid w:val="30133FEC"/>
    <w:rsid w:val="301467A7"/>
    <w:rsid w:val="313F5482"/>
    <w:rsid w:val="319E58AE"/>
    <w:rsid w:val="31E60E9F"/>
    <w:rsid w:val="32A777DC"/>
    <w:rsid w:val="32D1444A"/>
    <w:rsid w:val="32E672DE"/>
    <w:rsid w:val="33173320"/>
    <w:rsid w:val="33F47CCB"/>
    <w:rsid w:val="34873421"/>
    <w:rsid w:val="367E6347"/>
    <w:rsid w:val="36B74B2C"/>
    <w:rsid w:val="376A7251"/>
    <w:rsid w:val="38FF20BA"/>
    <w:rsid w:val="3AC61D1B"/>
    <w:rsid w:val="3B4A4976"/>
    <w:rsid w:val="3D6A788A"/>
    <w:rsid w:val="3E1C6CCE"/>
    <w:rsid w:val="3F07230B"/>
    <w:rsid w:val="3F461440"/>
    <w:rsid w:val="3F892743"/>
    <w:rsid w:val="401A4DB7"/>
    <w:rsid w:val="40534AFF"/>
    <w:rsid w:val="40551718"/>
    <w:rsid w:val="40BE466E"/>
    <w:rsid w:val="40E666D6"/>
    <w:rsid w:val="412A5093"/>
    <w:rsid w:val="41D96CAB"/>
    <w:rsid w:val="41F02AD8"/>
    <w:rsid w:val="436A2480"/>
    <w:rsid w:val="438C45B0"/>
    <w:rsid w:val="43B14858"/>
    <w:rsid w:val="43CA6E24"/>
    <w:rsid w:val="448C37A5"/>
    <w:rsid w:val="44AE371A"/>
    <w:rsid w:val="464949DA"/>
    <w:rsid w:val="4750610E"/>
    <w:rsid w:val="476A10AC"/>
    <w:rsid w:val="476A2E5A"/>
    <w:rsid w:val="478E00F0"/>
    <w:rsid w:val="48551EFC"/>
    <w:rsid w:val="489363E0"/>
    <w:rsid w:val="489A0C4E"/>
    <w:rsid w:val="489D2DBB"/>
    <w:rsid w:val="48D77849"/>
    <w:rsid w:val="492E6CEA"/>
    <w:rsid w:val="499C5626"/>
    <w:rsid w:val="49D62A28"/>
    <w:rsid w:val="4A6A422A"/>
    <w:rsid w:val="4C3126A7"/>
    <w:rsid w:val="4C985623"/>
    <w:rsid w:val="4CDE0A71"/>
    <w:rsid w:val="4D0553D3"/>
    <w:rsid w:val="4D1D75B1"/>
    <w:rsid w:val="4DB27309"/>
    <w:rsid w:val="4DC14C54"/>
    <w:rsid w:val="4F0312CB"/>
    <w:rsid w:val="4FE636C6"/>
    <w:rsid w:val="5025403F"/>
    <w:rsid w:val="50B024ED"/>
    <w:rsid w:val="512D283B"/>
    <w:rsid w:val="51706157"/>
    <w:rsid w:val="51A64FE7"/>
    <w:rsid w:val="51F85506"/>
    <w:rsid w:val="52245ABB"/>
    <w:rsid w:val="527E3298"/>
    <w:rsid w:val="534E1882"/>
    <w:rsid w:val="544E62B5"/>
    <w:rsid w:val="54D83964"/>
    <w:rsid w:val="551E5284"/>
    <w:rsid w:val="569958AC"/>
    <w:rsid w:val="576158FB"/>
    <w:rsid w:val="57965D12"/>
    <w:rsid w:val="587F7BAB"/>
    <w:rsid w:val="58A53C60"/>
    <w:rsid w:val="590B7824"/>
    <w:rsid w:val="598A0134"/>
    <w:rsid w:val="59BA41A7"/>
    <w:rsid w:val="5A1F4951"/>
    <w:rsid w:val="5A6776CD"/>
    <w:rsid w:val="5B0867BA"/>
    <w:rsid w:val="5C2F5FC8"/>
    <w:rsid w:val="5E2D0ECA"/>
    <w:rsid w:val="5E7E2E48"/>
    <w:rsid w:val="5EB920A6"/>
    <w:rsid w:val="5EE15247"/>
    <w:rsid w:val="5FEB66AA"/>
    <w:rsid w:val="611C2A4E"/>
    <w:rsid w:val="61ED0983"/>
    <w:rsid w:val="621A2785"/>
    <w:rsid w:val="62380621"/>
    <w:rsid w:val="62882906"/>
    <w:rsid w:val="6296592A"/>
    <w:rsid w:val="62AA63A9"/>
    <w:rsid w:val="63ED479F"/>
    <w:rsid w:val="64322AF9"/>
    <w:rsid w:val="64653D4C"/>
    <w:rsid w:val="64821F10"/>
    <w:rsid w:val="64BB7C34"/>
    <w:rsid w:val="65312DB1"/>
    <w:rsid w:val="657A4758"/>
    <w:rsid w:val="674943E2"/>
    <w:rsid w:val="675D4F09"/>
    <w:rsid w:val="68AF16DD"/>
    <w:rsid w:val="693B1A2C"/>
    <w:rsid w:val="6BDD159D"/>
    <w:rsid w:val="6FB978E1"/>
    <w:rsid w:val="70561C9A"/>
    <w:rsid w:val="71AF52DC"/>
    <w:rsid w:val="71C15269"/>
    <w:rsid w:val="728E1843"/>
    <w:rsid w:val="72C74D55"/>
    <w:rsid w:val="73597C2D"/>
    <w:rsid w:val="73CD6FBB"/>
    <w:rsid w:val="749B3DA3"/>
    <w:rsid w:val="752D41F9"/>
    <w:rsid w:val="75BC2223"/>
    <w:rsid w:val="75E023B5"/>
    <w:rsid w:val="76EB5281"/>
    <w:rsid w:val="77C70EBD"/>
    <w:rsid w:val="77E43CB3"/>
    <w:rsid w:val="77F770D8"/>
    <w:rsid w:val="783F1A66"/>
    <w:rsid w:val="786A32D4"/>
    <w:rsid w:val="788155F2"/>
    <w:rsid w:val="788D204F"/>
    <w:rsid w:val="78E461EB"/>
    <w:rsid w:val="78EF290F"/>
    <w:rsid w:val="792C3B64"/>
    <w:rsid w:val="79C142AC"/>
    <w:rsid w:val="7A794B87"/>
    <w:rsid w:val="7AC915E7"/>
    <w:rsid w:val="7ACB2BF8"/>
    <w:rsid w:val="7B71346D"/>
    <w:rsid w:val="7C086755"/>
    <w:rsid w:val="7CB73744"/>
    <w:rsid w:val="7CBC0100"/>
    <w:rsid w:val="7D0243DA"/>
    <w:rsid w:val="7D425704"/>
    <w:rsid w:val="7E0E41C6"/>
    <w:rsid w:val="7E0F0A9B"/>
    <w:rsid w:val="7EE2275E"/>
    <w:rsid w:val="7F895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Body Text Indent"/>
    <w:basedOn w:val="1"/>
    <w:autoRedefine/>
    <w:qFormat/>
    <w:uiPriority w:val="0"/>
    <w:pPr>
      <w:ind w:firstLine="640"/>
    </w:pPr>
    <w:rPr>
      <w:rFonts w:ascii="仿宋_GB2312" w:eastAsia="仿宋_GB2312"/>
      <w:bCs/>
      <w:sz w:val="32"/>
      <w:szCs w:val="32"/>
    </w:rPr>
  </w:style>
  <w:style w:type="paragraph" w:styleId="3">
    <w:name w:val="footer"/>
    <w:basedOn w:val="1"/>
    <w:link w:val="12"/>
    <w:autoRedefine/>
    <w:qFormat/>
    <w:uiPriority w:val="99"/>
    <w:pPr>
      <w:tabs>
        <w:tab w:val="center" w:pos="4153"/>
        <w:tab w:val="right" w:pos="8306"/>
      </w:tabs>
      <w:snapToGrid w:val="0"/>
      <w:jc w:val="left"/>
    </w:pPr>
    <w:rPr>
      <w:sz w:val="18"/>
      <w:szCs w:val="18"/>
    </w:rPr>
  </w:style>
  <w:style w:type="paragraph" w:styleId="4">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rPr>
      <w:sz w:val="24"/>
    </w:rPr>
  </w:style>
  <w:style w:type="paragraph" w:styleId="6">
    <w:name w:val="Body Text First Indent 2"/>
    <w:basedOn w:val="2"/>
    <w:autoRedefine/>
    <w:qFormat/>
    <w:uiPriority w:val="0"/>
    <w:pPr>
      <w:ind w:firstLine="420" w:firstLineChars="200"/>
    </w:p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page number"/>
    <w:basedOn w:val="9"/>
    <w:autoRedefine/>
    <w:qFormat/>
    <w:uiPriority w:val="0"/>
  </w:style>
  <w:style w:type="paragraph" w:styleId="11">
    <w:name w:val="List Paragraph"/>
    <w:basedOn w:val="1"/>
    <w:autoRedefine/>
    <w:qFormat/>
    <w:uiPriority w:val="34"/>
    <w:pPr>
      <w:widowControl/>
      <w:ind w:firstLine="420" w:firstLineChars="200"/>
      <w:jc w:val="left"/>
    </w:pPr>
    <w:rPr>
      <w:rFonts w:ascii="Times New Roman" w:hAnsi="Times New Roman" w:eastAsiaTheme="minorEastAsia"/>
      <w:sz w:val="24"/>
    </w:rPr>
  </w:style>
  <w:style w:type="character" w:customStyle="1" w:styleId="12">
    <w:name w:val="页脚 Char"/>
    <w:basedOn w:val="9"/>
    <w:link w:val="3"/>
    <w:autoRedefine/>
    <w:qFormat/>
    <w:uiPriority w:val="99"/>
    <w:rPr>
      <w:kern w:val="2"/>
      <w:sz w:val="18"/>
      <w:szCs w:val="18"/>
    </w:rPr>
  </w:style>
  <w:style w:type="character" w:customStyle="1" w:styleId="13">
    <w:name w:val="font41"/>
    <w:basedOn w:val="9"/>
    <w:autoRedefine/>
    <w:qFormat/>
    <w:uiPriority w:val="0"/>
    <w:rPr>
      <w:rFonts w:hint="eastAsia" w:ascii="宋体" w:hAnsi="宋体" w:eastAsia="宋体" w:cs="宋体"/>
      <w:color w:val="000000"/>
      <w:sz w:val="18"/>
      <w:szCs w:val="18"/>
      <w:u w:val="none"/>
    </w:rPr>
  </w:style>
  <w:style w:type="character" w:customStyle="1" w:styleId="14">
    <w:name w:val="font51"/>
    <w:basedOn w:val="9"/>
    <w:autoRedefine/>
    <w:qFormat/>
    <w:uiPriority w:val="0"/>
    <w:rPr>
      <w:rFonts w:hint="default" w:ascii="Times New Roman" w:hAnsi="Times New Roman" w:cs="Times New Roman"/>
      <w:color w:val="000000"/>
      <w:sz w:val="18"/>
      <w:szCs w:val="18"/>
      <w:u w:val="none"/>
    </w:rPr>
  </w:style>
  <w:style w:type="character" w:customStyle="1" w:styleId="15">
    <w:name w:val="font71"/>
    <w:basedOn w:val="9"/>
    <w:autoRedefine/>
    <w:qFormat/>
    <w:uiPriority w:val="0"/>
    <w:rPr>
      <w:rFonts w:hint="eastAsia" w:ascii="宋体" w:hAnsi="宋体" w:eastAsia="宋体" w:cs="宋体"/>
      <w:color w:val="000000"/>
      <w:sz w:val="18"/>
      <w:szCs w:val="18"/>
      <w:u w:val="none"/>
    </w:rPr>
  </w:style>
  <w:style w:type="character" w:customStyle="1" w:styleId="16">
    <w:name w:val="font61"/>
    <w:basedOn w:val="9"/>
    <w:autoRedefine/>
    <w:qFormat/>
    <w:uiPriority w:val="0"/>
    <w:rPr>
      <w:rFonts w:hint="default" w:ascii="Times New Roman" w:hAnsi="Times New Roman" w:cs="Times New Roman"/>
      <w:color w:val="000000"/>
      <w:sz w:val="18"/>
      <w:szCs w:val="18"/>
      <w:u w:val="none"/>
    </w:rPr>
  </w:style>
  <w:style w:type="character" w:customStyle="1" w:styleId="17">
    <w:name w:val="font11"/>
    <w:basedOn w:val="9"/>
    <w:autoRedefine/>
    <w:qFormat/>
    <w:uiPriority w:val="0"/>
    <w:rPr>
      <w:rFonts w:hint="eastAsia" w:ascii="宋体" w:hAnsi="宋体" w:eastAsia="宋体" w:cs="宋体"/>
      <w:color w:val="000000"/>
      <w:sz w:val="18"/>
      <w:szCs w:val="18"/>
      <w:u w:val="none"/>
    </w:rPr>
  </w:style>
  <w:style w:type="character" w:customStyle="1" w:styleId="18">
    <w:name w:val="font81"/>
    <w:basedOn w:val="9"/>
    <w:autoRedefine/>
    <w:qFormat/>
    <w:uiPriority w:val="0"/>
    <w:rPr>
      <w:rFonts w:hint="default" w:ascii="Times New Roman" w:hAnsi="Times New Roman" w:cs="Times New Roman"/>
      <w:color w:val="000000"/>
      <w:sz w:val="18"/>
      <w:szCs w:val="18"/>
      <w:u w:val="non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Lenovo (Beijing) Limited</Company>
  <Pages>17</Pages>
  <Words>3368</Words>
  <Characters>3621</Characters>
  <Lines>56</Lines>
  <Paragraphs>15</Paragraphs>
  <TotalTime>4</TotalTime>
  <ScaleCrop>false</ScaleCrop>
  <LinksUpToDate>false</LinksUpToDate>
  <CharactersWithSpaces>3636</CharactersWithSpaces>
  <Application>WPS Office_12.1.0.18909_F1E327BC-269C-435d-A152-05C5408002CA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2022-12-30T00:27:00Z</dcterms:created>
  <dc:creator>何阳之</dc:creator>
  <cp:lastModifiedBy>紫火焰</cp:lastModifiedBy>
  <cp:lastPrinted>2024-11-07T14:11:51Z</cp:lastPrinted>
  <dcterms:modified xsi:type="dcterms:W3CDTF">2024-11-07T14:18:34Z</dcterms:modified>
  <dc:title>湖南省财政厅文件</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2052-12.1.0.18909</vt:lpwstr>
  </property>
  <property fmtid="{D5CDD505-2E9C-101B-9397-08002B2CF9AE}" pid="3" name="ICV">
    <vt:lpwstr>8153C0D62C014D79B52514CA790F8633_13</vt:lpwstr>
  </property>
</Properties>
</file>