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rPr>
      </w:pPr>
    </w:p>
    <w:p>
      <w:pPr>
        <w:rPr>
          <w:rFonts w:hint="eastAsia" w:ascii="黑体" w:hAnsi="宋体" w:eastAsia="黑体"/>
          <w:sz w:val="32"/>
          <w:szCs w:val="32"/>
        </w:rPr>
      </w:pPr>
      <w:r>
        <w:rPr>
          <w:rFonts w:hint="eastAsia" w:eastAsia="方正小标宋_GBK"/>
          <w:sz w:val="36"/>
          <w:szCs w:val="36"/>
        </w:rPr>
        <w:t xml:space="preserve">  </w:t>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w w:val="90"/>
          <w:sz w:val="44"/>
          <w:szCs w:val="44"/>
        </w:rPr>
      </w:pPr>
      <w:r>
        <w:rPr>
          <w:rFonts w:hint="eastAsia" w:ascii="宋体" w:hAnsi="宋体"/>
          <w:w w:val="90"/>
          <w:sz w:val="44"/>
          <w:szCs w:val="44"/>
          <w:lang w:val="en-US" w:eastAsia="zh-CN"/>
        </w:rPr>
        <w:t xml:space="preserve">  </w:t>
      </w: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22</w:t>
      </w:r>
      <w:r>
        <w:rPr>
          <w:rFonts w:hint="eastAsia" w:ascii="宋体" w:hAnsi="宋体"/>
          <w:w w:val="90"/>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邵阳县小溪市乡人民政府</w:t>
      </w:r>
      <w:r>
        <w:rPr>
          <w:rFonts w:hint="eastAsia"/>
          <w:b/>
          <w:bCs/>
          <w:sz w:val="32"/>
          <w:szCs w:val="32"/>
          <w:u w:val="single"/>
        </w:rPr>
        <w:t>　</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30</w:t>
      </w:r>
      <w:r>
        <w:rPr>
          <w:rFonts w:hint="eastAsia" w:ascii="楷体" w:hAnsi="楷体" w:eastAsia="楷体" w:cs="楷体"/>
          <w:sz w:val="36"/>
        </w:rPr>
        <w:t>日</w:t>
      </w:r>
    </w:p>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（一）主要职责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根据《宪法》和《预算法》规定，邵阳县小溪市乡人民政府依法履行下列职能职责：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 执行上级国家行政机关的决定，命令和国家制定的法令，法规，接受同级党委的领导，执行本级人民代表大会的各项决议，并报告执行决议、决定和命令的情况。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（3）加强乡级财政的监督和管理，按计划组织，管理镇财政收入和支出，执行国家有关财经纪律和政策，保证国家财政收入的完成；做好统计工作。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（5）承办县人民政府交办的其他事项。</w:t>
      </w:r>
    </w:p>
    <w:p>
      <w:pPr>
        <w:adjustRightInd w:val="0"/>
        <w:snapToGrid w:val="0"/>
        <w:spacing w:line="60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（二）当年主要工作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1、乡村振兴工作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2、党建工作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3、信访维稳</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4、城乡环境卫生同治</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5、综治民调工作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6、油茶生产</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7、禁毒、反电诈工作</w:t>
      </w:r>
    </w:p>
    <w:p>
      <w:pPr>
        <w:pStyle w:val="2"/>
        <w:ind w:left="0" w:leftChars="0" w:firstLine="640" w:firstLineChars="200"/>
        <w:rPr>
          <w:rFonts w:hint="eastAsia" w:eastAsia="仿宋_GB2312"/>
          <w:sz w:val="32"/>
          <w:szCs w:val="32"/>
          <w:lang w:val="en-US" w:eastAsia="zh-CN"/>
        </w:rPr>
      </w:pPr>
      <w:r>
        <w:rPr>
          <w:rFonts w:hint="eastAsia" w:eastAsia="仿宋_GB2312"/>
          <w:sz w:val="32"/>
          <w:szCs w:val="32"/>
          <w:lang w:val="en-US" w:eastAsia="zh-CN"/>
        </w:rPr>
        <w:t>8、疫情防控</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9、其他中心工作</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（三）机构设置及人员情况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内设机构设置。小溪市乡人民政府单位内设机构包括“六办三中心一大队一站”:党政综合办公室、基层党建办公室、经济发展办公室、社会事务办公室、社会治安和应急管理办公室、自然资源和生态环境办公室、政务（便民）服务中心、社会事务综合服务中心、农业综合服务中心、综合行政执法大队、退役军人服务站。</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部门在职实有人数86人，其中：财政全额供养83人；财政差额供养3人，车改后实保留车辆1辆。</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当年在职人员81人,比上年增加了6.17%，其原因是2022年公务员招考录用、退休以及人员调动。</w:t>
      </w:r>
    </w:p>
    <w:p>
      <w:pPr>
        <w:numPr>
          <w:ilvl w:val="0"/>
          <w:numId w:val="1"/>
        </w:numPr>
        <w:adjustRightInd w:val="0"/>
        <w:snapToGrid w:val="0"/>
        <w:spacing w:line="600" w:lineRule="exact"/>
        <w:ind w:firstLine="640" w:firstLineChars="200"/>
        <w:rPr>
          <w:rFonts w:eastAsia="黑体"/>
          <w:sz w:val="32"/>
          <w:szCs w:val="32"/>
        </w:rPr>
      </w:pPr>
      <w:r>
        <w:rPr>
          <w:rFonts w:hint="eastAsia" w:eastAsia="黑体"/>
          <w:sz w:val="32"/>
          <w:szCs w:val="32"/>
          <w:lang w:val="en-US" w:eastAsia="zh-CN"/>
        </w:rPr>
        <w:t>一般公共预算支出情况</w:t>
      </w:r>
    </w:p>
    <w:p>
      <w:pPr>
        <w:adjustRightInd w:val="0"/>
        <w:snapToGrid w:val="0"/>
        <w:spacing w:line="600" w:lineRule="exact"/>
        <w:ind w:firstLine="643" w:firstLineChars="200"/>
        <w:rPr>
          <w:rFonts w:hint="eastAsia" w:ascii="楷体_GB2312" w:eastAsia="楷体_GB2312"/>
          <w:b/>
          <w:color w:val="auto"/>
          <w:sz w:val="32"/>
          <w:szCs w:val="32"/>
        </w:rPr>
      </w:pPr>
      <w:bookmarkStart w:id="4" w:name="_GoBack"/>
      <w:r>
        <w:rPr>
          <w:rFonts w:hint="eastAsia" w:ascii="楷体_GB2312" w:eastAsia="楷体_GB2312"/>
          <w:b/>
          <w:color w:val="auto"/>
          <w:sz w:val="32"/>
          <w:szCs w:val="32"/>
        </w:rPr>
        <w:t>（一）预算执行情况</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年初</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财政批复部门预算为</w:t>
      </w:r>
      <w:r>
        <w:rPr>
          <w:rFonts w:hint="eastAsia" w:ascii="仿宋_GB2312" w:hAnsi="仿宋_GB2312" w:eastAsia="仿宋_GB2312" w:cs="仿宋_GB2312"/>
          <w:color w:val="auto"/>
          <w:sz w:val="32"/>
          <w:szCs w:val="32"/>
          <w:lang w:val="en-US" w:eastAsia="zh-CN"/>
        </w:rPr>
        <w:t>1043.76</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731.27</w:t>
      </w:r>
      <w:r>
        <w:rPr>
          <w:rFonts w:hint="eastAsia" w:ascii="仿宋_GB2312" w:hAnsi="仿宋_GB2312" w:eastAsia="仿宋_GB2312" w:cs="仿宋_GB2312"/>
          <w:color w:val="auto"/>
          <w:sz w:val="32"/>
          <w:szCs w:val="32"/>
        </w:rPr>
        <w:t>万元,商品和福利支出</w:t>
      </w:r>
      <w:r>
        <w:rPr>
          <w:rFonts w:hint="eastAsia" w:ascii="仿宋_GB2312" w:hAnsi="仿宋_GB2312" w:eastAsia="仿宋_GB2312" w:cs="仿宋_GB2312"/>
          <w:color w:val="auto"/>
          <w:sz w:val="32"/>
          <w:szCs w:val="32"/>
          <w:lang w:val="en-US" w:eastAsia="zh-CN"/>
        </w:rPr>
        <w:t>267.13</w:t>
      </w:r>
      <w:r>
        <w:rPr>
          <w:rFonts w:hint="eastAsia" w:ascii="仿宋_GB2312" w:hAnsi="仿宋_GB2312" w:eastAsia="仿宋_GB2312" w:cs="仿宋_GB2312"/>
          <w:color w:val="auto"/>
          <w:sz w:val="32"/>
          <w:szCs w:val="32"/>
        </w:rPr>
        <w:t>万元,对个人和家庭补助支出</w:t>
      </w:r>
      <w:r>
        <w:rPr>
          <w:rFonts w:hint="eastAsia" w:ascii="仿宋_GB2312" w:hAnsi="仿宋_GB2312" w:eastAsia="仿宋_GB2312" w:cs="仿宋_GB2312"/>
          <w:color w:val="auto"/>
          <w:sz w:val="32"/>
          <w:szCs w:val="32"/>
          <w:lang w:val="en-US" w:eastAsia="zh-CN"/>
        </w:rPr>
        <w:t>45.36</w:t>
      </w:r>
      <w:r>
        <w:rPr>
          <w:rFonts w:hint="eastAsia" w:ascii="仿宋_GB2312" w:hAnsi="仿宋_GB2312" w:eastAsia="仿宋_GB2312" w:cs="仿宋_GB2312"/>
          <w:color w:val="auto"/>
          <w:sz w:val="32"/>
          <w:szCs w:val="32"/>
        </w:rPr>
        <w:t>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1951.36</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941.32</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639.78</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31.98</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338.28</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b/>
          <w:color w:val="auto"/>
          <w:sz w:val="32"/>
          <w:szCs w:val="32"/>
        </w:rPr>
      </w:pPr>
      <w:r>
        <w:rPr>
          <w:rFonts w:hint="eastAsia" w:ascii="楷体_GB2312" w:eastAsia="楷体_GB2312"/>
          <w:b/>
          <w:color w:val="auto"/>
          <w:sz w:val="32"/>
          <w:szCs w:val="32"/>
        </w:rPr>
        <w:t>（二）基本支出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基本支出用于保障单位机构正常运转、完成日常工作任务而发生的各项支出，包括用于基本工资、津贴补贴等人员经费以及办公费、印刷费、水电费、办公设备购置等日常公用经费。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年初</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财政批复部门预算为</w:t>
      </w:r>
      <w:r>
        <w:rPr>
          <w:rFonts w:hint="eastAsia" w:ascii="仿宋_GB2312" w:hAnsi="仿宋_GB2312" w:eastAsia="仿宋_GB2312" w:cs="仿宋_GB2312"/>
          <w:color w:val="auto"/>
          <w:sz w:val="32"/>
          <w:szCs w:val="32"/>
          <w:lang w:val="en-US" w:eastAsia="zh-CN"/>
        </w:rPr>
        <w:t>1043.76</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731.27</w:t>
      </w:r>
      <w:r>
        <w:rPr>
          <w:rFonts w:hint="eastAsia" w:ascii="仿宋_GB2312" w:hAnsi="仿宋_GB2312" w:eastAsia="仿宋_GB2312" w:cs="仿宋_GB2312"/>
          <w:color w:val="auto"/>
          <w:sz w:val="32"/>
          <w:szCs w:val="32"/>
        </w:rPr>
        <w:t>万元,商品和福利支出</w:t>
      </w:r>
      <w:r>
        <w:rPr>
          <w:rFonts w:hint="eastAsia" w:ascii="仿宋_GB2312" w:hAnsi="仿宋_GB2312" w:eastAsia="仿宋_GB2312" w:cs="仿宋_GB2312"/>
          <w:color w:val="auto"/>
          <w:sz w:val="32"/>
          <w:szCs w:val="32"/>
          <w:lang w:val="en-US" w:eastAsia="zh-CN"/>
        </w:rPr>
        <w:t>267.13</w:t>
      </w:r>
      <w:r>
        <w:rPr>
          <w:rFonts w:hint="eastAsia" w:ascii="仿宋_GB2312" w:hAnsi="仿宋_GB2312" w:eastAsia="仿宋_GB2312" w:cs="仿宋_GB2312"/>
          <w:color w:val="auto"/>
          <w:sz w:val="32"/>
          <w:szCs w:val="32"/>
        </w:rPr>
        <w:t>万元,对个人和家庭补助支出</w:t>
      </w:r>
      <w:r>
        <w:rPr>
          <w:rFonts w:hint="eastAsia" w:ascii="仿宋_GB2312" w:hAnsi="仿宋_GB2312" w:eastAsia="仿宋_GB2312" w:cs="仿宋_GB2312"/>
          <w:color w:val="auto"/>
          <w:sz w:val="32"/>
          <w:szCs w:val="32"/>
          <w:lang w:val="en-US" w:eastAsia="zh-CN"/>
        </w:rPr>
        <w:t>45.36</w:t>
      </w:r>
      <w:r>
        <w:rPr>
          <w:rFonts w:hint="eastAsia" w:ascii="仿宋_GB2312" w:hAnsi="仿宋_GB2312" w:eastAsia="仿宋_GB2312" w:cs="仿宋_GB2312"/>
          <w:color w:val="auto"/>
          <w:sz w:val="32"/>
          <w:szCs w:val="32"/>
        </w:rPr>
        <w:t>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1951.36</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941.32</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639.78</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31.98</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338.28</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cs="Times New Roman"/>
          <w:b/>
          <w:color w:val="auto"/>
          <w:sz w:val="32"/>
          <w:szCs w:val="32"/>
          <w:lang w:val="en-US" w:eastAsia="zh-CN"/>
        </w:rPr>
      </w:pPr>
      <w:r>
        <w:rPr>
          <w:rFonts w:hint="eastAsia" w:ascii="楷体_GB2312" w:eastAsia="楷体_GB2312" w:cs="Times New Roman"/>
          <w:b/>
          <w:color w:val="auto"/>
          <w:sz w:val="32"/>
          <w:szCs w:val="32"/>
          <w:lang w:val="en-US" w:eastAsia="zh-CN"/>
        </w:rPr>
        <w:t>（三）项目支出</w:t>
      </w:r>
    </w:p>
    <w:p>
      <w:pPr>
        <w:pStyle w:val="2"/>
        <w:numPr>
          <w:ilvl w:val="0"/>
          <w:numId w:val="0"/>
        </w:numPr>
        <w:ind w:firstLine="640" w:firstLineChars="200"/>
        <w:rPr>
          <w:rFonts w:hint="eastAsia" w:ascii="Calibri" w:hAnsi="Calibri"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项目支出</w:t>
      </w:r>
      <w:r>
        <w:rPr>
          <w:rFonts w:hint="eastAsia" w:ascii="Calibri" w:hAnsi="Calibri" w:eastAsia="仿宋_GB2312" w:cs="Times New Roman"/>
          <w:color w:val="auto"/>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022</w:t>
      </w:r>
      <w:r>
        <w:rPr>
          <w:rFonts w:hint="eastAsia" w:ascii="仿宋_GB2312" w:hAnsi="仿宋_GB2312" w:eastAsia="仿宋_GB2312" w:cs="仿宋_GB2312"/>
          <w:color w:val="auto"/>
          <w:sz w:val="32"/>
          <w:szCs w:val="32"/>
        </w:rPr>
        <w:t>年年初预算批复</w:t>
      </w:r>
      <w:r>
        <w:rPr>
          <w:rFonts w:hint="eastAsia" w:ascii="Calibri" w:hAnsi="Calibri" w:eastAsia="仿宋_GB2312" w:cs="Times New Roman"/>
          <w:color w:val="auto"/>
          <w:kern w:val="2"/>
          <w:sz w:val="32"/>
          <w:szCs w:val="32"/>
          <w:lang w:val="en-US" w:eastAsia="zh-CN" w:bidi="ar-SA"/>
        </w:rPr>
        <w:t>0万元</w:t>
      </w:r>
      <w:r>
        <w:rPr>
          <w:rFonts w:hint="eastAsia" w:eastAsia="仿宋_GB2312" w:cs="Times New Roman"/>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决算项目支出</w:t>
      </w:r>
      <w:r>
        <w:rPr>
          <w:rFonts w:hint="eastAsia" w:ascii="Calibri" w:hAnsi="Calibri" w:eastAsia="仿宋_GB2312" w:cs="Times New Roman"/>
          <w:color w:val="auto"/>
          <w:kern w:val="2"/>
          <w:sz w:val="32"/>
          <w:szCs w:val="32"/>
          <w:lang w:val="en-US" w:eastAsia="zh-CN" w:bidi="ar-SA"/>
        </w:rPr>
        <w:t>0万元</w:t>
      </w:r>
      <w:r>
        <w:rPr>
          <w:rFonts w:hint="eastAsia" w:eastAsia="仿宋_GB2312" w:cs="Times New Roman"/>
          <w:color w:val="auto"/>
          <w:kern w:val="2"/>
          <w:sz w:val="32"/>
          <w:szCs w:val="32"/>
          <w:lang w:val="en-US" w:eastAsia="zh-CN" w:bidi="ar-SA"/>
        </w:rPr>
        <w:t>。</w:t>
      </w:r>
    </w:p>
    <w:p>
      <w:pPr>
        <w:pStyle w:val="2"/>
        <w:numPr>
          <w:ilvl w:val="0"/>
          <w:numId w:val="0"/>
        </w:numPr>
        <w:ind w:firstLine="643" w:firstLineChars="200"/>
        <w:rPr>
          <w:rFonts w:hint="eastAsia" w:ascii="楷体_GB2312" w:hAnsi="Calibri" w:eastAsia="楷体_GB2312" w:cs="Times New Roman"/>
          <w:b/>
          <w:color w:val="auto"/>
          <w:kern w:val="2"/>
          <w:sz w:val="32"/>
          <w:szCs w:val="32"/>
          <w:lang w:val="en-US" w:eastAsia="zh-CN" w:bidi="ar-SA"/>
        </w:rPr>
      </w:pPr>
      <w:r>
        <w:rPr>
          <w:rFonts w:hint="eastAsia" w:ascii="楷体_GB2312" w:eastAsia="楷体_GB2312" w:cs="Times New Roman"/>
          <w:b/>
          <w:color w:val="auto"/>
          <w:kern w:val="2"/>
          <w:sz w:val="32"/>
          <w:szCs w:val="32"/>
          <w:lang w:val="en-US" w:eastAsia="zh-CN" w:bidi="ar-SA"/>
        </w:rPr>
        <w:t>(四）</w:t>
      </w:r>
      <w:r>
        <w:rPr>
          <w:rFonts w:hint="eastAsia" w:ascii="楷体_GB2312" w:hAnsi="Calibri" w:eastAsia="楷体_GB2312" w:cs="Times New Roman"/>
          <w:b/>
          <w:color w:val="auto"/>
          <w:kern w:val="2"/>
          <w:sz w:val="32"/>
          <w:szCs w:val="32"/>
          <w:lang w:val="en-US" w:eastAsia="zh-CN" w:bidi="ar-SA"/>
        </w:rPr>
        <w:t>“三公”经费支出</w:t>
      </w:r>
    </w:p>
    <w:p>
      <w:pPr>
        <w:adjustRightInd w:val="0"/>
        <w:snapToGrid w:val="0"/>
        <w:spacing w:line="600" w:lineRule="exact"/>
        <w:ind w:firstLine="640" w:firstLineChars="200"/>
        <w:rPr>
          <w:rFonts w:hint="eastAsia" w:ascii="Calibri" w:hAnsi="Calibri" w:eastAsia="仿宋_GB2312" w:cs="Times New Roman"/>
          <w:color w:val="auto"/>
          <w:kern w:val="2"/>
          <w:sz w:val="32"/>
          <w:szCs w:val="32"/>
          <w:lang w:val="en-US" w:eastAsia="zh-CN" w:bidi="ar-SA"/>
        </w:rPr>
      </w:pPr>
      <w:r>
        <w:rPr>
          <w:rFonts w:hint="eastAsia" w:ascii="Calibri" w:hAnsi="Calibri" w:eastAsia="仿宋_GB2312" w:cs="Times New Roman"/>
          <w:color w:val="auto"/>
          <w:kern w:val="2"/>
          <w:sz w:val="32"/>
          <w:szCs w:val="32"/>
          <w:lang w:val="en-US" w:eastAsia="zh-CN" w:bidi="ar-SA"/>
        </w:rPr>
        <w:t>202</w:t>
      </w:r>
      <w:r>
        <w:rPr>
          <w:rFonts w:hint="eastAsia" w:eastAsia="仿宋_GB2312" w:cs="Times New Roman"/>
          <w:color w:val="auto"/>
          <w:kern w:val="2"/>
          <w:sz w:val="32"/>
          <w:szCs w:val="32"/>
          <w:lang w:val="en-US" w:eastAsia="zh-CN" w:bidi="ar-SA"/>
        </w:rPr>
        <w:t>2</w:t>
      </w:r>
      <w:r>
        <w:rPr>
          <w:rFonts w:hint="eastAsia" w:ascii="Calibri" w:hAnsi="Calibri" w:eastAsia="仿宋_GB2312" w:cs="Times New Roman"/>
          <w:color w:val="auto"/>
          <w:kern w:val="2"/>
          <w:sz w:val="32"/>
          <w:szCs w:val="32"/>
          <w:lang w:val="en-US" w:eastAsia="zh-CN" w:bidi="ar-SA"/>
        </w:rPr>
        <w:t>年“三公”经费预算数为</w:t>
      </w:r>
      <w:r>
        <w:rPr>
          <w:rFonts w:hint="eastAsia" w:eastAsia="仿宋_GB2312" w:cs="Times New Roman"/>
          <w:color w:val="auto"/>
          <w:kern w:val="2"/>
          <w:sz w:val="32"/>
          <w:szCs w:val="32"/>
          <w:lang w:val="en-US" w:eastAsia="zh-CN" w:bidi="ar-SA"/>
        </w:rPr>
        <w:t>16</w:t>
      </w:r>
      <w:r>
        <w:rPr>
          <w:rFonts w:hint="eastAsia" w:ascii="Calibri" w:hAnsi="Calibri" w:eastAsia="仿宋_GB2312" w:cs="Times New Roman"/>
          <w:color w:val="auto"/>
          <w:kern w:val="2"/>
          <w:sz w:val="32"/>
          <w:szCs w:val="32"/>
          <w:lang w:val="en-US" w:eastAsia="zh-CN" w:bidi="ar-SA"/>
        </w:rPr>
        <w:t>万元，其中：因公出国（境）费0万元，公务用车购置及运行费4万元（公务用车购置费0万元，公务用车运行费4万元），公务接待费</w:t>
      </w:r>
      <w:r>
        <w:rPr>
          <w:rFonts w:hint="eastAsia" w:eastAsia="仿宋_GB2312" w:cs="Times New Roman"/>
          <w:color w:val="auto"/>
          <w:kern w:val="2"/>
          <w:sz w:val="32"/>
          <w:szCs w:val="32"/>
          <w:lang w:val="en-US" w:eastAsia="zh-CN" w:bidi="ar-SA"/>
        </w:rPr>
        <w:t>12</w:t>
      </w:r>
      <w:r>
        <w:rPr>
          <w:rFonts w:hint="eastAsia" w:ascii="Calibri" w:hAnsi="Calibri" w:eastAsia="仿宋_GB2312" w:cs="Times New Roman"/>
          <w:color w:val="auto"/>
          <w:kern w:val="2"/>
          <w:sz w:val="32"/>
          <w:szCs w:val="32"/>
          <w:lang w:val="en-US" w:eastAsia="zh-CN" w:bidi="ar-SA"/>
        </w:rPr>
        <w:t>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全年决算支出“三公”经费</w:t>
      </w:r>
      <w:r>
        <w:rPr>
          <w:rFonts w:hint="eastAsia" w:ascii="仿宋_GB2312" w:hAnsi="仿宋_GB2312" w:eastAsia="仿宋_GB2312" w:cs="仿宋_GB2312"/>
          <w:color w:val="auto"/>
          <w:sz w:val="32"/>
          <w:szCs w:val="32"/>
          <w:lang w:val="en-US" w:eastAsia="zh-CN"/>
        </w:rPr>
        <w:t>0.36</w:t>
      </w:r>
      <w:r>
        <w:rPr>
          <w:rFonts w:hint="eastAsia" w:ascii="仿宋_GB2312" w:hAnsi="仿宋_GB2312" w:eastAsia="仿宋_GB2312" w:cs="仿宋_GB2312"/>
          <w:color w:val="auto"/>
          <w:sz w:val="32"/>
          <w:szCs w:val="32"/>
        </w:rPr>
        <w:t>万元，其中公务接待费</w:t>
      </w:r>
      <w:r>
        <w:rPr>
          <w:rFonts w:hint="eastAsia" w:ascii="仿宋_GB2312" w:hAnsi="仿宋_GB2312" w:eastAsia="仿宋_GB2312" w:cs="仿宋_GB2312"/>
          <w:color w:val="auto"/>
          <w:sz w:val="32"/>
          <w:szCs w:val="32"/>
          <w:lang w:val="en-US" w:eastAsia="zh-CN"/>
        </w:rPr>
        <w:t>0.36</w:t>
      </w:r>
      <w:r>
        <w:rPr>
          <w:rFonts w:hint="eastAsia" w:ascii="仿宋_GB2312" w:hAnsi="仿宋_GB2312" w:eastAsia="仿宋_GB2312" w:cs="仿宋_GB2312"/>
          <w:color w:val="auto"/>
          <w:sz w:val="32"/>
          <w:szCs w:val="32"/>
        </w:rPr>
        <w:t>万元、公务用车购置及运行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numPr>
          <w:ilvl w:val="0"/>
          <w:numId w:val="2"/>
        </w:numPr>
        <w:adjustRightInd w:val="0"/>
        <w:snapToGrid w:val="0"/>
        <w:spacing w:line="600" w:lineRule="exact"/>
        <w:ind w:firstLine="640" w:firstLineChars="200"/>
        <w:rPr>
          <w:rFonts w:hint="eastAsia" w:eastAsia="黑体"/>
          <w:color w:val="auto"/>
          <w:sz w:val="32"/>
          <w:szCs w:val="32"/>
        </w:rPr>
      </w:pPr>
      <w:r>
        <w:rPr>
          <w:rFonts w:hint="eastAsia" w:eastAsia="黑体"/>
          <w:color w:val="auto"/>
          <w:sz w:val="32"/>
          <w:szCs w:val="32"/>
        </w:rPr>
        <w:t>绩效评价工作情况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根据《邵阳县财政局关于开展</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年度部门整体支出绩效自评和专项</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绩效评价工作的通知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邵</w:t>
      </w:r>
      <w:r>
        <w:rPr>
          <w:rFonts w:hint="eastAsia" w:ascii="仿宋_GB2312" w:hAnsi="仿宋_GB2312" w:eastAsia="仿宋_GB2312" w:cs="仿宋_GB2312"/>
          <w:color w:val="auto"/>
          <w:sz w:val="32"/>
          <w:szCs w:val="32"/>
        </w:rPr>
        <w:t>财绩[20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邵阳县小溪市乡人民政府</w:t>
      </w:r>
      <w:r>
        <w:rPr>
          <w:rFonts w:hint="eastAsia" w:ascii="仿宋_GB2312" w:hAnsi="仿宋_GB2312" w:eastAsia="仿宋_GB2312" w:cs="仿宋_GB2312"/>
          <w:color w:val="auto"/>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numPr>
          <w:ilvl w:val="0"/>
          <w:numId w:val="2"/>
        </w:numPr>
        <w:adjustRightInd w:val="0"/>
        <w:snapToGrid w:val="0"/>
        <w:spacing w:line="600" w:lineRule="exact"/>
        <w:ind w:left="0" w:leftChars="0" w:firstLine="640" w:firstLineChars="200"/>
        <w:rPr>
          <w:rFonts w:hint="eastAsia" w:eastAsia="黑体"/>
          <w:color w:val="auto"/>
          <w:sz w:val="32"/>
          <w:szCs w:val="32"/>
        </w:rPr>
      </w:pPr>
      <w:r>
        <w:rPr>
          <w:rFonts w:hint="eastAsia" w:eastAsia="黑体"/>
          <w:color w:val="auto"/>
          <w:sz w:val="32"/>
          <w:szCs w:val="32"/>
        </w:rPr>
        <w:t>综合评价情况及评价结论</w:t>
      </w:r>
    </w:p>
    <w:p>
      <w:pPr>
        <w:ind w:firstLine="640" w:firstLineChars="200"/>
        <w:rPr>
          <w:rFonts w:hint="eastAsia" w:ascii="仿宋_GB2312" w:eastAsia="仿宋_GB2312"/>
          <w:color w:val="auto"/>
          <w:sz w:val="30"/>
          <w:szCs w:val="30"/>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年度部门整体支出绩效自评</w:t>
      </w:r>
      <w:r>
        <w:rPr>
          <w:rFonts w:hint="eastAsia" w:ascii="仿宋_GB2312" w:hAnsi="仿宋_GB2312" w:eastAsia="仿宋_GB2312" w:cs="仿宋_GB2312"/>
          <w:color w:val="auto"/>
          <w:sz w:val="32"/>
          <w:szCs w:val="32"/>
          <w:lang w:val="en-US" w:eastAsia="zh-CN"/>
        </w:rPr>
        <w:t>89.5</w:t>
      </w:r>
      <w:r>
        <w:rPr>
          <w:rFonts w:hint="eastAsia" w:ascii="仿宋_GB2312" w:hAnsi="仿宋_GB2312" w:eastAsia="仿宋_GB2312" w:cs="仿宋_GB2312"/>
          <w:color w:val="auto"/>
          <w:sz w:val="32"/>
          <w:szCs w:val="32"/>
        </w:rPr>
        <w:t>分。</w:t>
      </w:r>
    </w:p>
    <w:p>
      <w:pPr>
        <w:adjustRightInd w:val="0"/>
        <w:snapToGrid w:val="0"/>
        <w:spacing w:line="600" w:lineRule="exact"/>
        <w:ind w:firstLine="640" w:firstLineChars="200"/>
        <w:rPr>
          <w:rFonts w:hint="eastAsia" w:ascii="黑体" w:eastAsia="黑体"/>
          <w:color w:val="auto"/>
          <w:sz w:val="32"/>
          <w:szCs w:val="32"/>
          <w:lang w:eastAsia="zh-CN"/>
        </w:rPr>
      </w:pPr>
      <w:r>
        <w:rPr>
          <w:rFonts w:hint="eastAsia" w:ascii="黑体" w:eastAsia="黑体"/>
          <w:color w:val="auto"/>
          <w:sz w:val="32"/>
          <w:szCs w:val="32"/>
          <w:lang w:eastAsia="zh-CN"/>
        </w:rPr>
        <w:t>五、部门整体支出主要绩效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（一）全乡经济稳步推进，交出了一张稳中有进的合格答卷。</w:t>
      </w:r>
      <w:r>
        <w:rPr>
          <w:rFonts w:hint="eastAsia" w:ascii="方正仿宋_GB2312" w:hAnsi="方正仿宋_GB2312" w:eastAsia="方正仿宋_GB2312" w:cs="方正仿宋_GB2312"/>
          <w:b/>
          <w:bCs/>
          <w:color w:val="auto"/>
          <w:sz w:val="32"/>
          <w:szCs w:val="32"/>
          <w:lang w:val="en-US" w:eastAsia="zh-CN"/>
        </w:rPr>
        <w:t>一是紧抓财源稳定增长，</w:t>
      </w:r>
      <w:r>
        <w:rPr>
          <w:rFonts w:hint="eastAsia" w:ascii="方正仿宋_GB2312" w:hAnsi="方正仿宋_GB2312" w:eastAsia="方正仿宋_GB2312" w:cs="方正仿宋_GB2312"/>
          <w:b/>
          <w:bCs/>
          <w:color w:val="auto"/>
          <w:sz w:val="32"/>
          <w:szCs w:val="32"/>
          <w:lang w:eastAsia="zh-CN"/>
        </w:rPr>
        <w:t>经济发展稳中有升。</w:t>
      </w:r>
      <w:r>
        <w:rPr>
          <w:rFonts w:hint="eastAsia" w:ascii="仿宋_GB2312" w:hAnsi="仿宋_GB2312" w:eastAsia="仿宋_GB2312" w:cs="仿宋_GB2312"/>
          <w:color w:val="auto"/>
          <w:sz w:val="32"/>
          <w:szCs w:val="32"/>
          <w:lang w:val="en-US" w:eastAsia="zh-CN"/>
        </w:rPr>
        <w:t>超额完成各项经济指标任务。完成非税收入104.39万元，税收收入119万元；固定资产投资完成20359万元，完成率100%，位居全县前列。</w:t>
      </w:r>
      <w:r>
        <w:rPr>
          <w:rFonts w:hint="eastAsia" w:ascii="仿宋_GB2312" w:hAnsi="仿宋_GB2312" w:eastAsia="仿宋_GB2312" w:cs="仿宋_GB2312"/>
          <w:b/>
          <w:bCs/>
          <w:color w:val="auto"/>
          <w:sz w:val="32"/>
          <w:szCs w:val="32"/>
          <w:lang w:val="en-US" w:eastAsia="zh-CN"/>
        </w:rPr>
        <w:t>二是农业产业蓬勃发展，粮食安全保障有力。</w:t>
      </w:r>
      <w:r>
        <w:rPr>
          <w:rFonts w:hint="eastAsia" w:ascii="仿宋_GB2312" w:hAnsi="仿宋_GB2312" w:eastAsia="仿宋_GB2312" w:cs="仿宋_GB2312"/>
          <w:b w:val="0"/>
          <w:bCs w:val="0"/>
          <w:color w:val="auto"/>
          <w:sz w:val="32"/>
          <w:szCs w:val="32"/>
          <w:lang w:val="en-US" w:eastAsia="zh-CN"/>
        </w:rPr>
        <w:t>2022年</w:t>
      </w:r>
      <w:r>
        <w:rPr>
          <w:rFonts w:hint="eastAsia" w:ascii="仿宋_GB2312" w:hAnsi="仿宋_GB2312" w:eastAsia="仿宋_GB2312" w:cs="仿宋_GB2312"/>
          <w:b w:val="0"/>
          <w:bCs w:val="0"/>
          <w:color w:val="auto"/>
          <w:sz w:val="32"/>
          <w:szCs w:val="32"/>
          <w:lang w:eastAsia="zh-CN"/>
        </w:rPr>
        <w:t>水稻种植面积2.6万亩，</w:t>
      </w:r>
      <w:r>
        <w:rPr>
          <w:rFonts w:hint="eastAsia" w:ascii="仿宋_GB2312" w:hAnsi="仿宋_GB2312" w:eastAsia="仿宋_GB2312" w:cs="仿宋_GB2312"/>
          <w:color w:val="auto"/>
          <w:sz w:val="32"/>
          <w:szCs w:val="32"/>
          <w:lang w:eastAsia="zh-CN"/>
        </w:rPr>
        <w:t>其中早稻种植面积1.12万亩，中稻种植面积1.48万亩，晚稻育秧面积0.12万亩，完成消荒2700余亩。</w:t>
      </w:r>
      <w:r>
        <w:rPr>
          <w:rFonts w:hint="eastAsia" w:ascii="仿宋_GB2312" w:hAnsi="仿宋_GB2312" w:eastAsia="仿宋_GB2312" w:cs="仿宋_GB2312"/>
          <w:color w:val="auto"/>
          <w:sz w:val="32"/>
          <w:szCs w:val="32"/>
        </w:rPr>
        <w:t>落实“双千”工程，打造1400亩双季稻基地，1000亩大豆玉米复合套种示范基地。</w:t>
      </w:r>
    </w:p>
    <w:bookmarkEnd w:id="4"/>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b/>
          <w:bCs/>
          <w:sz w:val="32"/>
          <w:szCs w:val="32"/>
          <w:lang w:val="en-US" w:eastAsia="zh-CN"/>
        </w:rPr>
        <w:t>（二）重点工作扎实推进，迈出了一段铿锵有力的前进步伐</w:t>
      </w:r>
      <w:r>
        <w:rPr>
          <w:rFonts w:hint="eastAsia" w:ascii="楷体" w:hAnsi="楷体" w:eastAsia="楷体" w:cs="楷体"/>
          <w:b/>
          <w:bCs/>
          <w:color w:val="auto"/>
          <w:sz w:val="32"/>
          <w:szCs w:val="32"/>
          <w:lang w:val="en-US" w:eastAsia="zh-CN"/>
        </w:rPr>
        <w:t>。</w:t>
      </w:r>
      <w:r>
        <w:rPr>
          <w:rFonts w:hint="eastAsia" w:ascii="楷体" w:hAnsi="楷体" w:eastAsia="楷体" w:cs="楷体"/>
          <w:b w:val="0"/>
          <w:bCs w:val="0"/>
          <w:color w:val="auto"/>
          <w:sz w:val="32"/>
          <w:szCs w:val="32"/>
          <w:lang w:val="en-US" w:eastAsia="zh-CN"/>
        </w:rPr>
        <w:t>一是乡村振兴推进有序</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b w:val="0"/>
          <w:bCs w:val="0"/>
          <w:color w:val="auto"/>
          <w:kern w:val="2"/>
          <w:sz w:val="32"/>
          <w:szCs w:val="32"/>
          <w:shd w:val="clear" w:color="auto" w:fill="auto"/>
          <w:lang w:val="en-US" w:eastAsia="zh-CN" w:bidi="ar-SA"/>
        </w:rPr>
        <w:t>用好用足金融帮扶政策，为脱贫人口提供免息小额贷款445.9万元。</w:t>
      </w:r>
      <w:r>
        <w:rPr>
          <w:rFonts w:hint="eastAsia" w:ascii="仿宋_GB2312" w:hAnsi="仿宋_GB2312" w:eastAsia="仿宋_GB2312" w:cs="仿宋_GB2312"/>
          <w:b w:val="0"/>
          <w:bCs w:val="0"/>
          <w:color w:val="auto"/>
          <w:sz w:val="32"/>
          <w:szCs w:val="32"/>
        </w:rPr>
        <w:t>引入邵阳至泰发制品有限公司和小溪市乡灯笼制作加工公司落户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推动</w:t>
      </w:r>
      <w:r>
        <w:rPr>
          <w:rFonts w:hint="eastAsia" w:ascii="仿宋_GB2312" w:hAnsi="仿宋_GB2312" w:eastAsia="仿宋_GB2312" w:cs="仿宋_GB2312"/>
          <w:b w:val="0"/>
          <w:bCs w:val="0"/>
          <w:color w:val="auto"/>
          <w:kern w:val="2"/>
          <w:sz w:val="32"/>
          <w:szCs w:val="32"/>
          <w:shd w:val="clear" w:color="auto" w:fill="auto"/>
          <w:lang w:val="en-US" w:eastAsia="zh-CN" w:bidi="ar-SA"/>
        </w:rPr>
        <w:t>脱贫人口、边缘易致贫人口实现就业3220人。争</w:t>
      </w:r>
      <w:r>
        <w:rPr>
          <w:rFonts w:hint="eastAsia" w:ascii="仿宋_GB2312" w:hAnsi="仿宋_GB2312" w:eastAsia="仿宋_GB2312" w:cs="仿宋_GB2312"/>
          <w:b w:val="0"/>
          <w:bCs w:val="0"/>
          <w:color w:val="auto"/>
          <w:sz w:val="32"/>
          <w:szCs w:val="32"/>
          <w:lang w:val="en-US" w:eastAsia="zh-CN"/>
        </w:rPr>
        <w:t>取实施乡村振兴项目12个，累积资金396.7万元。</w:t>
      </w:r>
      <w:r>
        <w:rPr>
          <w:rFonts w:hint="eastAsia" w:ascii="仿宋_GB2312" w:hAnsi="仿宋_GB2312" w:eastAsia="仿宋_GB2312" w:cs="仿宋_GB2312"/>
          <w:b w:val="0"/>
          <w:bCs w:val="0"/>
          <w:color w:val="auto"/>
          <w:kern w:val="2"/>
          <w:sz w:val="32"/>
          <w:szCs w:val="32"/>
          <w:shd w:val="clear" w:color="auto" w:fill="auto"/>
          <w:lang w:val="en-US" w:eastAsia="zh-CN" w:bidi="ar-SA"/>
        </w:rPr>
        <w:t>大力发展村集体经济，全乡村集体经济收入达到197万元，有9个村集体经济收入超10万。</w:t>
      </w:r>
      <w:r>
        <w:rPr>
          <w:rFonts w:hint="eastAsia" w:ascii="楷体" w:hAnsi="楷体" w:eastAsia="楷体" w:cs="楷体"/>
          <w:color w:val="auto"/>
          <w:sz w:val="32"/>
          <w:szCs w:val="32"/>
          <w:lang w:val="en-US" w:eastAsia="zh-CN"/>
        </w:rPr>
        <w:t>二是城乡面貌焕然一新。</w:t>
      </w:r>
      <w:r>
        <w:rPr>
          <w:rFonts w:hint="eastAsia" w:ascii="仿宋_GB2312" w:hAnsi="仿宋_GB2312" w:eastAsia="仿宋_GB2312" w:cs="仿宋_GB2312"/>
          <w:color w:val="auto"/>
          <w:sz w:val="32"/>
          <w:szCs w:val="32"/>
        </w:rPr>
        <w:t>坚持把环境保护作为</w:t>
      </w:r>
      <w:r>
        <w:rPr>
          <w:rFonts w:hint="eastAsia" w:ascii="仿宋_GB2312" w:hAnsi="仿宋_GB2312" w:eastAsia="仿宋_GB2312" w:cs="仿宋_GB2312"/>
          <w:color w:val="auto"/>
          <w:sz w:val="32"/>
          <w:szCs w:val="32"/>
          <w:lang w:val="en-US" w:eastAsia="zh-CN"/>
        </w:rPr>
        <w:t>一项</w:t>
      </w:r>
      <w:r>
        <w:rPr>
          <w:rFonts w:hint="eastAsia" w:ascii="仿宋_GB2312" w:hAnsi="仿宋_GB2312" w:eastAsia="仿宋_GB2312" w:cs="仿宋_GB2312"/>
          <w:color w:val="auto"/>
          <w:sz w:val="32"/>
          <w:szCs w:val="32"/>
        </w:rPr>
        <w:t>底线红线</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扎实开展“爱国卫生运动”和“周五大扫除”活动和“美丽庭院”建设，</w:t>
      </w:r>
      <w:r>
        <w:rPr>
          <w:rFonts w:hint="eastAsia" w:ascii="仿宋_GB2312" w:hAnsi="仿宋_GB2312" w:eastAsia="仿宋_GB2312" w:cs="仿宋_GB2312"/>
          <w:color w:val="auto"/>
          <w:sz w:val="32"/>
          <w:szCs w:val="32"/>
          <w:lang w:val="en-US" w:eastAsia="zh-CN"/>
        </w:rPr>
        <w:t>动员干</w:t>
      </w:r>
      <w:r>
        <w:rPr>
          <w:rFonts w:hint="eastAsia" w:ascii="仿宋_GB2312" w:hAnsi="仿宋_GB2312" w:eastAsia="仿宋_GB2312" w:cs="仿宋_GB2312"/>
          <w:sz w:val="32"/>
          <w:szCs w:val="32"/>
          <w:lang w:val="en-US" w:eastAsia="zh-CN"/>
        </w:rPr>
        <w:t>部群众3100多人次自觉参与到环境整治中来，</w:t>
      </w:r>
      <w:r>
        <w:rPr>
          <w:rFonts w:hint="eastAsia" w:ascii="仿宋_GB2312" w:hAnsi="仿宋_GB2312" w:eastAsia="仿宋_GB2312" w:cs="仿宋_GB2312"/>
          <w:sz w:val="32"/>
          <w:szCs w:val="32"/>
          <w:lang w:eastAsia="zh-CN"/>
        </w:rPr>
        <w:t>拆除旱厕</w:t>
      </w:r>
      <w:r>
        <w:rPr>
          <w:rFonts w:hint="eastAsia" w:ascii="仿宋_GB2312" w:hAnsi="仿宋_GB2312" w:eastAsia="仿宋_GB2312" w:cs="仿宋_GB2312"/>
          <w:sz w:val="32"/>
          <w:szCs w:val="32"/>
          <w:lang w:val="en-US" w:eastAsia="zh-CN"/>
        </w:rPr>
        <w:t>2100</w:t>
      </w:r>
      <w:r>
        <w:rPr>
          <w:rFonts w:hint="eastAsia" w:ascii="仿宋_GB2312" w:hAnsi="仿宋_GB2312" w:eastAsia="仿宋_GB2312" w:cs="仿宋_GB2312"/>
          <w:sz w:val="32"/>
          <w:szCs w:val="32"/>
          <w:lang w:eastAsia="zh-CN"/>
        </w:rPr>
        <w:t>余座，</w:t>
      </w:r>
      <w:r>
        <w:rPr>
          <w:rFonts w:hint="eastAsia" w:ascii="仿宋_GB2312" w:hAnsi="仿宋_GB2312" w:eastAsia="仿宋_GB2312" w:cs="仿宋_GB2312"/>
          <w:sz w:val="32"/>
          <w:szCs w:val="32"/>
          <w:lang w:val="en-US" w:eastAsia="zh-CN"/>
        </w:rPr>
        <w:t>完成改厕</w:t>
      </w:r>
      <w:r>
        <w:rPr>
          <w:rFonts w:hint="eastAsia" w:ascii="仿宋_GB2312" w:hAnsi="仿宋_GB2312" w:eastAsia="仿宋_GB2312" w:cs="仿宋_GB2312"/>
          <w:sz w:val="32"/>
          <w:szCs w:val="32"/>
          <w:lang w:eastAsia="zh-CN"/>
        </w:rPr>
        <w:t>135座；</w:t>
      </w:r>
      <w:r>
        <w:rPr>
          <w:rFonts w:hint="eastAsia" w:ascii="仿宋_GB2312" w:hAnsi="仿宋_GB2312" w:eastAsia="仿宋_GB2312" w:cs="仿宋_GB2312"/>
          <w:sz w:val="32"/>
          <w:szCs w:val="32"/>
          <w:lang w:val="en-US" w:eastAsia="zh-CN"/>
        </w:rPr>
        <w:t>累积</w:t>
      </w:r>
      <w:r>
        <w:rPr>
          <w:rFonts w:hint="eastAsia" w:ascii="仿宋_GB2312" w:hAnsi="仿宋_GB2312" w:eastAsia="仿宋_GB2312" w:cs="仿宋_GB2312"/>
          <w:sz w:val="32"/>
          <w:szCs w:val="32"/>
        </w:rPr>
        <w:t>拆除“空心房”</w:t>
      </w:r>
      <w:r>
        <w:rPr>
          <w:rFonts w:hint="eastAsia" w:ascii="仿宋_GB2312" w:hAnsi="仿宋_GB2312" w:eastAsia="仿宋_GB2312" w:cs="仿宋_GB2312"/>
          <w:sz w:val="32"/>
          <w:szCs w:val="32"/>
          <w:lang w:val="en-US" w:eastAsia="zh-CN"/>
        </w:rPr>
        <w:t>1051</w:t>
      </w:r>
      <w:r>
        <w:rPr>
          <w:rFonts w:hint="eastAsia" w:ascii="仿宋_GB2312" w:hAnsi="仿宋_GB2312" w:eastAsia="仿宋_GB2312" w:cs="仿宋_GB2312"/>
          <w:sz w:val="32"/>
          <w:szCs w:val="32"/>
        </w:rPr>
        <w:t>栋，拆除面积约</w:t>
      </w:r>
      <w:r>
        <w:rPr>
          <w:rFonts w:hint="eastAsia" w:ascii="仿宋_GB2312" w:hAnsi="仿宋_GB2312" w:eastAsia="仿宋_GB2312" w:cs="仿宋_GB2312"/>
          <w:sz w:val="32"/>
          <w:szCs w:val="32"/>
          <w:lang w:val="en-US" w:eastAsia="zh-CN"/>
        </w:rPr>
        <w:t>114597</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大大改善了村容村貌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严格落实“动土必核、动土必查”，</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开展卫片执法工作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对涉及违法用地的4宗图斑全部按时间节点高标准整改到位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（三）民生保障有效推进，干出了一番卓有成效的优秀事业。一是全面落实社会保障政策。</w:t>
      </w:r>
      <w:r>
        <w:rPr>
          <w:rFonts w:hint="eastAsia" w:ascii="仿宋_GB2312" w:hAnsi="仿宋_GB2312" w:eastAsia="仿宋_GB2312" w:cs="仿宋_GB2312"/>
          <w:sz w:val="32"/>
          <w:szCs w:val="32"/>
          <w:lang w:val="en-US" w:eastAsia="zh-CN"/>
        </w:rPr>
        <w:t>大力推行“一件事一次办”，严明窗口人员工作纪律</w:t>
      </w:r>
      <w:r>
        <w:rPr>
          <w:rFonts w:hint="eastAsia" w:ascii="仿宋_GB2312" w:hAnsi="仿宋_GB2312" w:eastAsia="仿宋_GB2312" w:cs="仿宋_GB2312"/>
          <w:sz w:val="32"/>
          <w:szCs w:val="32"/>
        </w:rPr>
        <w:t>，方便群众办事方便、快捷。健全社会救助体系，做到低保“应保尽保”。</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孕产妇产前筛查</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完成率为</w:t>
      </w:r>
      <w:r>
        <w:rPr>
          <w:rFonts w:hint="eastAsia" w:ascii="仿宋_GB2312" w:hAnsi="仿宋_GB2312" w:eastAsia="仿宋_GB2312" w:cs="仿宋_GB2312"/>
          <w:sz w:val="32"/>
          <w:szCs w:val="32"/>
          <w:lang w:val="en-US" w:eastAsia="zh-CN"/>
        </w:rPr>
        <w:t>108.7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农村适龄妇女（35-64岁）“两癌”免费检查完成</w:t>
      </w: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人，完成</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val="en-US" w:eastAsia="zh-CN"/>
        </w:rPr>
        <w:t>的100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，完成新生儿先天性心脏病免费筛查</w:t>
      </w:r>
      <w:r>
        <w:rPr>
          <w:rFonts w:hint="eastAsia" w:ascii="仿宋_GB2312" w:hAnsi="仿宋_GB2312" w:eastAsia="仿宋_GB2312" w:cs="仿宋_GB2312"/>
          <w:sz w:val="32"/>
          <w:szCs w:val="32"/>
          <w:lang w:val="en-US" w:eastAsia="zh-CN"/>
        </w:rPr>
        <w:t>92人，完成全年任务的100%。在集镇新建了公园和健身步道，为广大人民群众健康生活提供了活动场所。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撤乡设镇</w:t>
      </w:r>
      <w:r>
        <w:rPr>
          <w:rFonts w:hint="eastAsia" w:ascii="仿宋_GB2312" w:hAnsi="仿宋_GB2312" w:eastAsia="仿宋_GB2312" w:cs="仿宋_GB2312"/>
          <w:b/>
          <w:bCs/>
          <w:sz w:val="32"/>
          <w:szCs w:val="32"/>
          <w:lang w:val="en-US" w:eastAsia="zh-CN"/>
        </w:rPr>
        <w:t>顺利推进</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我乡撤乡设镇已于2022年7月完成市、县审批流程并上报至省民政厅，完成了现阶段的法定程序，等待省委、省政府审批。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教育事业稳步发展。</w:t>
      </w:r>
      <w:r>
        <w:rPr>
          <w:rFonts w:hint="eastAsia" w:ascii="仿宋_GB2312" w:hAnsi="仿宋_GB2312" w:eastAsia="仿宋_GB2312" w:cs="仿宋_GB2312"/>
          <w:sz w:val="32"/>
          <w:szCs w:val="32"/>
        </w:rPr>
        <w:t>全面落实“双减”政策，</w:t>
      </w:r>
      <w:r>
        <w:rPr>
          <w:rFonts w:hint="eastAsia" w:ascii="仿宋_GB2312" w:hAnsi="仿宋_GB2312" w:eastAsia="仿宋_GB2312" w:cs="仿宋_GB2312"/>
          <w:sz w:val="32"/>
          <w:szCs w:val="32"/>
          <w:lang w:val="en-US" w:eastAsia="zh-CN"/>
        </w:rPr>
        <w:t>持续深入</w:t>
      </w:r>
      <w:r>
        <w:rPr>
          <w:rFonts w:hint="eastAsia" w:ascii="仿宋_GB2312" w:hAnsi="仿宋_GB2312" w:eastAsia="仿宋_GB2312" w:cs="仿宋_GB2312"/>
          <w:sz w:val="32"/>
          <w:szCs w:val="32"/>
          <w:lang w:eastAsia="zh-CN"/>
        </w:rPr>
        <w:t>开展“千师访万户”活动和防溺水安全大家访大宣传活动，</w:t>
      </w:r>
      <w:r>
        <w:rPr>
          <w:rFonts w:hint="eastAsia" w:ascii="仿宋_GB2312" w:hAnsi="仿宋_GB2312" w:eastAsia="仿宋_GB2312" w:cs="仿宋_GB2312"/>
          <w:sz w:val="32"/>
          <w:szCs w:val="32"/>
        </w:rPr>
        <w:t>推进绿色学校、无烟校园及寄宿制学校创建工作，</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4所</w:t>
      </w:r>
      <w:r>
        <w:rPr>
          <w:rFonts w:hint="eastAsia" w:ascii="仿宋_GB2312" w:hAnsi="仿宋_GB2312" w:eastAsia="仿宋_GB2312" w:cs="仿宋_GB2312"/>
          <w:sz w:val="32"/>
          <w:szCs w:val="32"/>
          <w:lang w:val="en-US" w:eastAsia="zh-CN"/>
        </w:rPr>
        <w:t>学校的</w:t>
      </w:r>
      <w:r>
        <w:rPr>
          <w:rFonts w:hint="eastAsia" w:ascii="仿宋_GB2312" w:hAnsi="仿宋_GB2312" w:eastAsia="仿宋_GB2312" w:cs="仿宋_GB2312"/>
          <w:sz w:val="32"/>
          <w:szCs w:val="32"/>
        </w:rPr>
        <w:t>旱厕改水厕</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，中学</w:t>
      </w:r>
      <w:r>
        <w:rPr>
          <w:rFonts w:hint="eastAsia" w:ascii="仿宋_GB2312" w:hAnsi="仿宋_GB2312" w:eastAsia="仿宋_GB2312" w:cs="仿宋_GB2312"/>
          <w:sz w:val="32"/>
          <w:szCs w:val="32"/>
          <w:lang w:eastAsia="zh-CN"/>
        </w:rPr>
        <w:t>新建</w:t>
      </w:r>
      <w:r>
        <w:rPr>
          <w:rFonts w:hint="eastAsia" w:ascii="仿宋_GB2312" w:hAnsi="仿宋_GB2312" w:eastAsia="仿宋_GB2312" w:cs="仿宋_GB2312"/>
          <w:sz w:val="32"/>
          <w:szCs w:val="32"/>
        </w:rPr>
        <w:t>食堂</w:t>
      </w:r>
      <w:r>
        <w:rPr>
          <w:rFonts w:hint="eastAsia" w:ascii="仿宋_GB2312" w:hAnsi="仿宋_GB2312" w:eastAsia="仿宋_GB2312" w:cs="仿宋_GB2312"/>
          <w:sz w:val="32"/>
          <w:szCs w:val="32"/>
          <w:lang w:eastAsia="zh-CN"/>
        </w:rPr>
        <w:t>投入使用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（四）党的建设全面推进，开创了一个日新月异的良好局面。</w:t>
      </w:r>
      <w:r>
        <w:rPr>
          <w:rFonts w:hint="eastAsia" w:ascii="仿宋_GB2312" w:hAnsi="仿宋_GB2312" w:eastAsia="仿宋_GB2312" w:cs="仿宋_GB2312"/>
          <w:sz w:val="32"/>
          <w:szCs w:val="32"/>
          <w:lang w:val="en-US" w:eastAsia="zh-CN"/>
        </w:rPr>
        <w:t>坚持把政治建设摆在首位，开展专题组织生活会。意识形态责任制全面落实落细，大幅提升正能量宣传。深化“五个到户”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组织党员干部</w:t>
      </w:r>
      <w:r>
        <w:rPr>
          <w:rFonts w:hint="eastAsia" w:ascii="仿宋_GB2312" w:hAnsi="仿宋_GB2312" w:eastAsia="仿宋_GB2312" w:cs="仿宋_GB2312"/>
          <w:sz w:val="32"/>
          <w:szCs w:val="32"/>
          <w:lang w:eastAsia="zh-CN"/>
        </w:rPr>
        <w:t>结对群众1174户，</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居民议事会、民情恳谈会157次，解决</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lang w:eastAsia="zh-CN"/>
        </w:rPr>
        <w:t>急难愁盼问题208个</w:t>
      </w:r>
      <w:r>
        <w:rPr>
          <w:rFonts w:hint="eastAsia" w:ascii="仿宋_GB2312" w:hAnsi="仿宋_GB2312" w:eastAsia="仿宋_GB2312" w:cs="仿宋_GB2312"/>
          <w:sz w:val="32"/>
          <w:szCs w:val="32"/>
          <w:lang w:val="en-US" w:eastAsia="zh-CN"/>
        </w:rPr>
        <w:t>，组建党员志愿服务队伍解决了一批群众“急难愁盼”问题。全面贯彻落实党要管党，从严治党要求，深入开展“一争二提三主动”大讨论活动，解决了一大批“四风”顽疾，实现了从“整作风”到“转作风”再到“好作风”的转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回顾一年来的工作，我们有三个方面的深</w:t>
      </w:r>
      <w:r>
        <w:rPr>
          <w:rFonts w:hint="default" w:ascii="仿宋" w:hAnsi="仿宋" w:eastAsia="仿宋" w:cs="仿宋"/>
          <w:sz w:val="32"/>
          <w:szCs w:val="32"/>
          <w:lang w:val="en-US" w:eastAsia="zh-CN"/>
        </w:rPr>
        <w:t>刻体会：</w:t>
      </w:r>
      <w:r>
        <w:rPr>
          <w:rFonts w:hint="eastAsia" w:ascii="楷体" w:hAnsi="楷体" w:eastAsia="楷体" w:cs="楷体"/>
          <w:b/>
          <w:bCs/>
          <w:sz w:val="32"/>
          <w:szCs w:val="32"/>
          <w:lang w:val="en-US" w:eastAsia="zh-CN"/>
        </w:rPr>
        <w:t>一是思路决定出路。</w:t>
      </w:r>
      <w:r>
        <w:rPr>
          <w:rFonts w:hint="eastAsia" w:ascii="仿宋_GB2312" w:hAnsi="仿宋_GB2312" w:eastAsia="仿宋_GB2312" w:cs="仿宋_GB2312"/>
          <w:sz w:val="32"/>
          <w:szCs w:val="32"/>
          <w:lang w:val="en-US" w:eastAsia="zh-CN"/>
        </w:rPr>
        <w:t>面对百年未有之大变局和新常态、新形势，我们大力实施县委“三兴三区”战略，全力融入“一城一带一湖一园”四大增长极，明确了小溪市当前和今后一个时期的发展目标、发展战略、发展路径、发展重点，确保了小溪市经济社会沿着健康协调可持续的轨道向前发展。</w:t>
      </w:r>
      <w:r>
        <w:rPr>
          <w:rFonts w:hint="eastAsia" w:ascii="楷体" w:hAnsi="楷体" w:eastAsia="楷体" w:cs="楷体"/>
          <w:b/>
          <w:bCs/>
          <w:sz w:val="32"/>
          <w:szCs w:val="32"/>
          <w:lang w:val="en-US" w:eastAsia="zh-CN"/>
        </w:rPr>
        <w:t>二是实业决定实力。</w:t>
      </w:r>
      <w:r>
        <w:rPr>
          <w:rFonts w:hint="eastAsia" w:ascii="仿宋_GB2312" w:hAnsi="仿宋_GB2312" w:eastAsia="仿宋_GB2312" w:cs="仿宋_GB2312"/>
          <w:sz w:val="32"/>
          <w:szCs w:val="32"/>
          <w:lang w:val="en-US" w:eastAsia="zh-CN"/>
        </w:rPr>
        <w:t>面对经济下行压力，我们着眼小溪市长远发展，紧扣做大做强油茶、生猪养殖等支柱产业，大力实施“产业强乡”和“一村一品”战略，坚定不移兴产业、强实体、提品质、增实效，努力打造新的经济增长点，既为当前稳增长提供了有力支撑，更为小溪市未来发展奠定了基础、积蓄了后劲。</w:t>
      </w:r>
      <w:r>
        <w:rPr>
          <w:rFonts w:hint="eastAsia" w:ascii="楷体" w:hAnsi="楷体" w:eastAsia="楷体" w:cs="楷体"/>
          <w:b/>
          <w:bCs/>
          <w:sz w:val="32"/>
          <w:szCs w:val="32"/>
          <w:lang w:val="en-US" w:eastAsia="zh-CN"/>
        </w:rPr>
        <w:t>三是作风决定作为。</w:t>
      </w:r>
      <w:r>
        <w:rPr>
          <w:rFonts w:hint="eastAsia" w:ascii="仿宋_GB2312" w:hAnsi="仿宋_GB2312" w:eastAsia="仿宋_GB2312" w:cs="仿宋_GB2312"/>
          <w:sz w:val="32"/>
          <w:szCs w:val="32"/>
          <w:lang w:val="en-US" w:eastAsia="zh-CN"/>
        </w:rPr>
        <w:t>面对改革发展稳定各项任务，我们结合党的二十大精神学习教育，深入开展“一争二提三主动”大讨论活动，改进了全乡党员干部的工作作风，也激发了干事创业的热情，有效提高了工作能力和主动性，推进全乡各项工作奋发赶超。</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、存在的问题</w:t>
      </w:r>
    </w:p>
    <w:p>
      <w:pPr>
        <w:pStyle w:val="5"/>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0"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0"/>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因固定资产种类繁多，规格不一，</w:t>
      </w:r>
      <w:r>
        <w:rPr>
          <w:rFonts w:hint="eastAsia" w:ascii="仿宋_GB2312" w:hAnsi="仿宋_GB2312" w:eastAsia="仿宋_GB2312" w:cs="仿宋_GB2312"/>
          <w:sz w:val="32"/>
          <w:szCs w:val="32"/>
          <w:lang w:eastAsia="zh-CN"/>
        </w:rPr>
        <w:t>暂未</w:t>
      </w:r>
      <w:r>
        <w:rPr>
          <w:rFonts w:hint="eastAsia" w:ascii="仿宋_GB2312" w:hAnsi="仿宋_GB2312" w:eastAsia="仿宋_GB2312" w:cs="仿宋_GB2312"/>
          <w:sz w:val="32"/>
          <w:szCs w:val="32"/>
        </w:rPr>
        <w:t>配备专人管理，但还是存在已处理与新增的资产未及时登录入台账的现象，也未建立卡片进行管理，年终前未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p>
    <w:p>
      <w:pPr>
        <w:pStyle w:val="5"/>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1" w:name="_Toc390113230"/>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)财务管理</w:t>
      </w:r>
      <w:r>
        <w:rPr>
          <w:rFonts w:hint="eastAsia" w:ascii="楷体_GB2312" w:hAnsi="楷体_GB2312" w:eastAsia="楷体_GB2312" w:cs="楷体_GB2312"/>
          <w:b/>
          <w:bCs/>
          <w:sz w:val="32"/>
          <w:szCs w:val="32"/>
        </w:rPr>
        <w:t>制度</w:t>
      </w:r>
      <w:r>
        <w:rPr>
          <w:rFonts w:hint="eastAsia" w:ascii="楷体_GB2312" w:hAnsi="楷体_GB2312" w:eastAsia="楷体_GB2312" w:cs="楷体_GB2312"/>
          <w:b/>
          <w:bCs/>
          <w:sz w:val="32"/>
          <w:szCs w:val="32"/>
          <w:lang w:eastAsia="zh-CN"/>
        </w:rPr>
        <w:t>有待</w:t>
      </w:r>
      <w:r>
        <w:rPr>
          <w:rFonts w:hint="eastAsia" w:ascii="楷体_GB2312" w:hAnsi="楷体_GB2312" w:eastAsia="楷体_GB2312" w:cs="楷体_GB2312"/>
          <w:b/>
          <w:bCs/>
          <w:sz w:val="32"/>
          <w:szCs w:val="32"/>
        </w:rPr>
        <w:t>完善</w:t>
      </w:r>
      <w:bookmarkEnd w:id="1"/>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小溪市乡内部管理制度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，但</w:t>
      </w:r>
      <w:r>
        <w:rPr>
          <w:rFonts w:hint="eastAsia" w:ascii="仿宋_GB2312" w:hAnsi="仿宋_GB2312" w:eastAsia="仿宋_GB2312" w:cs="仿宋_GB2312"/>
          <w:sz w:val="32"/>
          <w:szCs w:val="32"/>
          <w:lang w:eastAsia="zh-CN"/>
        </w:rPr>
        <w:t>在发票规范化报销流程和财务监督制度方面规定不够详细。</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七、</w:t>
      </w:r>
      <w:r>
        <w:rPr>
          <w:rFonts w:hint="eastAsia" w:eastAsia="黑体"/>
          <w:sz w:val="32"/>
          <w:szCs w:val="32"/>
        </w:rPr>
        <w:t>改进措施和有关建议</w:t>
      </w:r>
      <w:bookmarkStart w:id="2" w:name="_Toc390113235"/>
    </w:p>
    <w:p>
      <w:pPr>
        <w:numPr>
          <w:ilvl w:val="0"/>
          <w:numId w:val="3"/>
        </w:numPr>
        <w:adjustRightInd w:val="0"/>
        <w:snapToGrid w:val="0"/>
        <w:spacing w:line="60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bookmarkEnd w:id="2"/>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配备专人负责管理固定资产，</w:t>
      </w: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3" w:name="_Toc390113236"/>
    </w:p>
    <w:p>
      <w:pPr>
        <w:pStyle w:val="5"/>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3"/>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进一步贯彻落实中央“八项规定”和湖南省委“九条规定”，</w:t>
      </w:r>
      <w:r>
        <w:rPr>
          <w:rFonts w:hint="eastAsia" w:ascii="仿宋_GB2312" w:hAnsi="仿宋_GB2312" w:eastAsia="仿宋_GB2312" w:cs="仿宋_GB2312"/>
          <w:sz w:val="32"/>
          <w:szCs w:val="32"/>
          <w:lang w:eastAsia="zh-CN"/>
        </w:rPr>
        <w:t>加强干部财政法规培训和指导，规划报销流程，完善票据资料，</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财务支出监督</w:t>
      </w:r>
      <w:r>
        <w:rPr>
          <w:rFonts w:hint="eastAsia" w:ascii="仿宋_GB2312" w:hAnsi="仿宋_GB2312" w:eastAsia="仿宋_GB2312" w:cs="仿宋_GB2312"/>
          <w:sz w:val="32"/>
          <w:szCs w:val="32"/>
        </w:rPr>
        <w:t>，规范支出标准与范围，</w:t>
      </w:r>
      <w:r>
        <w:rPr>
          <w:rFonts w:hint="eastAsia" w:ascii="仿宋_GB2312" w:hAnsi="仿宋_GB2312" w:eastAsia="仿宋_GB2312" w:cs="仿宋_GB2312"/>
          <w:sz w:val="32"/>
          <w:szCs w:val="32"/>
          <w:lang w:eastAsia="zh-CN"/>
        </w:rPr>
        <w:t>做到合法合规，</w:t>
      </w:r>
      <w:r>
        <w:rPr>
          <w:rFonts w:hint="eastAsia" w:ascii="仿宋_GB2312" w:hAnsi="仿宋_GB2312" w:eastAsia="仿宋_GB2312" w:cs="仿宋_GB2312"/>
          <w:sz w:val="32"/>
          <w:szCs w:val="32"/>
        </w:rPr>
        <w:t>并严格执行。</w:t>
      </w:r>
    </w:p>
    <w:p>
      <w:pPr>
        <w:pStyle w:val="2"/>
        <w:ind w:left="0" w:leftChars="0" w:firstLine="0" w:firstLineChars="0"/>
        <w:rPr>
          <w:rFonts w:hint="eastAsia" w:ascii="仿宋_GB2312" w:hAnsi="仿宋_GB2312" w:eastAsia="仿宋_GB2312" w:cs="仿宋_GB2312"/>
          <w:kern w:val="2"/>
          <w:sz w:val="32"/>
          <w:szCs w:val="32"/>
          <w:lang w:val="en-US" w:eastAsia="zh-CN" w:bidi="ar-SA"/>
        </w:rPr>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邵阳县小溪市乡人民政府</w:t>
      </w:r>
    </w:p>
    <w:p>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2023年3月30日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D7B20C-4A63-4DEC-90D3-FBB47B2E51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C3D4206-A031-45C7-BF1A-CF8697A166AF}"/>
  </w:font>
  <w:font w:name="仿宋">
    <w:panose1 w:val="02010609060101010101"/>
    <w:charset w:val="86"/>
    <w:family w:val="auto"/>
    <w:pitch w:val="default"/>
    <w:sig w:usb0="800002BF" w:usb1="38CF7CFA" w:usb2="00000016" w:usb3="00000000" w:csb0="00040001" w:csb1="00000000"/>
    <w:embedRegular r:id="rId3" w:fontKey="{B3C4C91F-190E-4AF5-AD8F-1EE2073AF8D8}"/>
  </w:font>
  <w:font w:name="方正小标宋_GBK">
    <w:panose1 w:val="02000000000000000000"/>
    <w:charset w:val="86"/>
    <w:family w:val="script"/>
    <w:pitch w:val="default"/>
    <w:sig w:usb0="A00002BF" w:usb1="38CF7CFA" w:usb2="00082016" w:usb3="00000000" w:csb0="00040001" w:csb1="00000000"/>
    <w:embedRegular r:id="rId4" w:fontKey="{EC711D25-2045-4645-8ADE-8E60A58784AB}"/>
  </w:font>
  <w:font w:name="楷体">
    <w:panose1 w:val="02010609060101010101"/>
    <w:charset w:val="86"/>
    <w:family w:val="auto"/>
    <w:pitch w:val="default"/>
    <w:sig w:usb0="800002BF" w:usb1="38CF7CFA" w:usb2="00000016" w:usb3="00000000" w:csb0="00040001" w:csb1="00000000"/>
    <w:embedRegular r:id="rId5" w:fontKey="{6D72C6F2-E07F-4350-A396-4FFCCF48EC46}"/>
  </w:font>
  <w:font w:name="仿宋_GB2312">
    <w:panose1 w:val="02010609030101010101"/>
    <w:charset w:val="86"/>
    <w:family w:val="modern"/>
    <w:pitch w:val="default"/>
    <w:sig w:usb0="00000001" w:usb1="080E0000" w:usb2="00000000" w:usb3="00000000" w:csb0="00040000" w:csb1="00000000"/>
    <w:embedRegular r:id="rId6" w:fontKey="{4466FC35-057E-420F-ADD8-738F5F91281C}"/>
  </w:font>
  <w:font w:name="楷体_GB2312">
    <w:panose1 w:val="02010609030101010101"/>
    <w:charset w:val="86"/>
    <w:family w:val="modern"/>
    <w:pitch w:val="default"/>
    <w:sig w:usb0="00000001" w:usb1="080E0000" w:usb2="00000000" w:usb3="00000000" w:csb0="00040000" w:csb1="00000000"/>
    <w:embedRegular r:id="rId7" w:fontKey="{B6847B65-B6D7-4EAC-B72C-4C26AC0E79CC}"/>
  </w:font>
  <w:font w:name="方正仿宋_GB2312">
    <w:panose1 w:val="02000000000000000000"/>
    <w:charset w:val="86"/>
    <w:family w:val="auto"/>
    <w:pitch w:val="default"/>
    <w:sig w:usb0="A00002BF" w:usb1="184F6CFA" w:usb2="00000012" w:usb3="00000000" w:csb0="00040001" w:csb1="00000000"/>
    <w:embedRegular r:id="rId8" w:fontKey="{9D238DB6-73BA-4E68-A6D4-E9D66E67FB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C2C0E"/>
    <w:multiLevelType w:val="singleLevel"/>
    <w:tmpl w:val="A04C2C0E"/>
    <w:lvl w:ilvl="0" w:tentative="0">
      <w:start w:val="2"/>
      <w:numFmt w:val="chineseCounting"/>
      <w:suff w:val="nothing"/>
      <w:lvlText w:val="%1、"/>
      <w:lvlJc w:val="left"/>
      <w:rPr>
        <w:rFonts w:hint="eastAsia"/>
      </w:rPr>
    </w:lvl>
  </w:abstractNum>
  <w:abstractNum w:abstractNumId="1">
    <w:nsid w:val="FA6BD23D"/>
    <w:multiLevelType w:val="singleLevel"/>
    <w:tmpl w:val="FA6BD23D"/>
    <w:lvl w:ilvl="0" w:tentative="0">
      <w:start w:val="3"/>
      <w:numFmt w:val="chineseCounting"/>
      <w:suff w:val="nothing"/>
      <w:lvlText w:val="%1、"/>
      <w:lvlJc w:val="left"/>
      <w:rPr>
        <w:rFonts w:hint="eastAsia"/>
      </w:rPr>
    </w:lvl>
  </w:abstractNum>
  <w:abstractNum w:abstractNumId="2">
    <w:nsid w:val="04C207ED"/>
    <w:multiLevelType w:val="singleLevel"/>
    <w:tmpl w:val="04C207E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TI2ODM2MmY3MDU1ZTY0Y2MxZGIyN2NiMWUyMzcifQ=="/>
  </w:docVars>
  <w:rsids>
    <w:rsidRoot w:val="6488656F"/>
    <w:rsid w:val="005A7208"/>
    <w:rsid w:val="01944054"/>
    <w:rsid w:val="05483AD3"/>
    <w:rsid w:val="07EC6998"/>
    <w:rsid w:val="08AE00F1"/>
    <w:rsid w:val="09383E5F"/>
    <w:rsid w:val="0D86163D"/>
    <w:rsid w:val="0EEA1757"/>
    <w:rsid w:val="10480E2B"/>
    <w:rsid w:val="10B771C0"/>
    <w:rsid w:val="12DA4151"/>
    <w:rsid w:val="1306440E"/>
    <w:rsid w:val="16287735"/>
    <w:rsid w:val="163E2900"/>
    <w:rsid w:val="17233A58"/>
    <w:rsid w:val="184E71FB"/>
    <w:rsid w:val="19596F42"/>
    <w:rsid w:val="19FD4A34"/>
    <w:rsid w:val="1A271AB1"/>
    <w:rsid w:val="1B0E3EDC"/>
    <w:rsid w:val="1BC872C4"/>
    <w:rsid w:val="1C645E03"/>
    <w:rsid w:val="1C6E2F4A"/>
    <w:rsid w:val="1D24052A"/>
    <w:rsid w:val="1E3B3D7D"/>
    <w:rsid w:val="1EC852A6"/>
    <w:rsid w:val="1F55375D"/>
    <w:rsid w:val="1F5F1CED"/>
    <w:rsid w:val="20827A42"/>
    <w:rsid w:val="22883309"/>
    <w:rsid w:val="22966C23"/>
    <w:rsid w:val="22AD2D70"/>
    <w:rsid w:val="234E4553"/>
    <w:rsid w:val="25BF4489"/>
    <w:rsid w:val="25FC0296"/>
    <w:rsid w:val="28764D5A"/>
    <w:rsid w:val="289A6E2E"/>
    <w:rsid w:val="2906785B"/>
    <w:rsid w:val="2A7A5C2D"/>
    <w:rsid w:val="2A8422CE"/>
    <w:rsid w:val="2A9C2048"/>
    <w:rsid w:val="2B856DE0"/>
    <w:rsid w:val="2BD15D21"/>
    <w:rsid w:val="2F8C4439"/>
    <w:rsid w:val="2F943110"/>
    <w:rsid w:val="31D67CFB"/>
    <w:rsid w:val="32456B21"/>
    <w:rsid w:val="32A52895"/>
    <w:rsid w:val="32CC7242"/>
    <w:rsid w:val="33446DD8"/>
    <w:rsid w:val="34463BA5"/>
    <w:rsid w:val="34B2667C"/>
    <w:rsid w:val="34FB47F5"/>
    <w:rsid w:val="35327830"/>
    <w:rsid w:val="36AA33F6"/>
    <w:rsid w:val="37B3452D"/>
    <w:rsid w:val="37CB6AAC"/>
    <w:rsid w:val="37D270A9"/>
    <w:rsid w:val="37F4792B"/>
    <w:rsid w:val="39494A8F"/>
    <w:rsid w:val="398163A9"/>
    <w:rsid w:val="3AC76101"/>
    <w:rsid w:val="3BC63EA0"/>
    <w:rsid w:val="3E414576"/>
    <w:rsid w:val="3E614CE2"/>
    <w:rsid w:val="3ECD05CA"/>
    <w:rsid w:val="3F11495A"/>
    <w:rsid w:val="3FC419CD"/>
    <w:rsid w:val="418227BA"/>
    <w:rsid w:val="43566DE0"/>
    <w:rsid w:val="435E785D"/>
    <w:rsid w:val="45154A79"/>
    <w:rsid w:val="459B498C"/>
    <w:rsid w:val="4C4D54FB"/>
    <w:rsid w:val="4E21623C"/>
    <w:rsid w:val="4FF260E2"/>
    <w:rsid w:val="51003592"/>
    <w:rsid w:val="5119769F"/>
    <w:rsid w:val="51BB10E1"/>
    <w:rsid w:val="552B4635"/>
    <w:rsid w:val="562B5EAA"/>
    <w:rsid w:val="57EC1669"/>
    <w:rsid w:val="592E180D"/>
    <w:rsid w:val="59FE06FB"/>
    <w:rsid w:val="5B2A7597"/>
    <w:rsid w:val="5B392E17"/>
    <w:rsid w:val="5BAD7361"/>
    <w:rsid w:val="5CDB1E4B"/>
    <w:rsid w:val="5F546472"/>
    <w:rsid w:val="6488656F"/>
    <w:rsid w:val="649D4417"/>
    <w:rsid w:val="65602A06"/>
    <w:rsid w:val="656E5DB3"/>
    <w:rsid w:val="66C8504F"/>
    <w:rsid w:val="6776587D"/>
    <w:rsid w:val="68A11FFC"/>
    <w:rsid w:val="69623539"/>
    <w:rsid w:val="6A7A2C53"/>
    <w:rsid w:val="6B4A0B61"/>
    <w:rsid w:val="70B5586B"/>
    <w:rsid w:val="719F0332"/>
    <w:rsid w:val="71D21478"/>
    <w:rsid w:val="723656EB"/>
    <w:rsid w:val="72C139C6"/>
    <w:rsid w:val="75D36555"/>
    <w:rsid w:val="77BB5783"/>
    <w:rsid w:val="77FF0781"/>
    <w:rsid w:val="782D178F"/>
    <w:rsid w:val="7859644F"/>
    <w:rsid w:val="78746DE5"/>
    <w:rsid w:val="78F30652"/>
    <w:rsid w:val="7B767318"/>
    <w:rsid w:val="7B7B66DC"/>
    <w:rsid w:val="7CE3278B"/>
    <w:rsid w:val="7D494CE4"/>
    <w:rsid w:val="7EBC14E6"/>
    <w:rsid w:val="7F47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Normal Indent"/>
    <w:basedOn w:val="1"/>
    <w:qFormat/>
    <w:uiPriority w:val="99"/>
    <w:pPr>
      <w:ind w:firstLine="420" w:firstLineChars="200"/>
    </w:pPr>
    <w:rPr>
      <w:rFonts w:eastAsia="仿宋"/>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3529</Words>
  <Characters>3783</Characters>
  <Lines>0</Lines>
  <Paragraphs>0</Paragraphs>
  <TotalTime>70</TotalTime>
  <ScaleCrop>false</ScaleCrop>
  <LinksUpToDate>false</LinksUpToDate>
  <CharactersWithSpaces>3876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2022-02-17T12:17:00Z</dcterms:created>
  <dc:creator>Administrator</dc:creator>
  <cp:lastModifiedBy>l</cp:lastModifiedBy>
  <cp:lastPrinted>2023-04-13T09:26:00Z</cp:lastPrinted>
  <dcterms:modified xsi:type="dcterms:W3CDTF">2023-11-14T07:40:29Z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785784E1B1B7400093F2818F66EBBC41_13</vt:lpwstr>
  </property>
</Properties>
</file>